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7F5834" w:rsidRDefault="003C1C57" w:rsidP="003C1C57">
      <w:pPr>
        <w:pStyle w:val="EinfacherAbsatz"/>
        <w:rPr>
          <w:rFonts w:ascii="Arial" w:hAnsi="Arial" w:cs="Arial"/>
          <w:b/>
          <w:color w:val="auto"/>
          <w:spacing w:val="1"/>
          <w:sz w:val="28"/>
          <w:szCs w:val="28"/>
        </w:rPr>
      </w:pPr>
      <w:r w:rsidRPr="007F5834">
        <w:rPr>
          <w:rFonts w:ascii="Arial" w:hAnsi="Arial" w:cs="Arial"/>
          <w:b/>
          <w:color w:val="auto"/>
          <w:spacing w:val="59"/>
          <w:sz w:val="28"/>
          <w:szCs w:val="28"/>
        </w:rPr>
        <w:t>PRESSEMELDUNG</w:t>
      </w:r>
      <w:r w:rsidRPr="007F5834">
        <w:rPr>
          <w:rFonts w:ascii="Arial" w:hAnsi="Arial" w:cs="Arial"/>
          <w:b/>
          <w:color w:val="auto"/>
          <w:spacing w:val="1"/>
          <w:sz w:val="28"/>
          <w:szCs w:val="28"/>
        </w:rPr>
        <w:t xml:space="preserve">  |   </w:t>
      </w:r>
      <w:r w:rsidR="0070362D">
        <w:rPr>
          <w:rFonts w:ascii="Arial" w:hAnsi="Arial" w:cs="Arial"/>
          <w:b/>
          <w:color w:val="auto"/>
          <w:spacing w:val="1"/>
          <w:sz w:val="28"/>
          <w:szCs w:val="28"/>
        </w:rPr>
        <w:t>25</w:t>
      </w:r>
      <w:r w:rsidR="00A077A7">
        <w:rPr>
          <w:rFonts w:ascii="Arial" w:hAnsi="Arial" w:cs="Arial"/>
          <w:b/>
          <w:color w:val="auto"/>
          <w:spacing w:val="1"/>
          <w:sz w:val="28"/>
          <w:szCs w:val="28"/>
        </w:rPr>
        <w:t>.</w:t>
      </w:r>
      <w:r w:rsidR="0070362D">
        <w:rPr>
          <w:rFonts w:ascii="Arial" w:hAnsi="Arial" w:cs="Arial"/>
          <w:b/>
          <w:color w:val="auto"/>
          <w:spacing w:val="1"/>
          <w:sz w:val="28"/>
          <w:szCs w:val="28"/>
        </w:rPr>
        <w:t>06</w:t>
      </w:r>
      <w:r w:rsidR="002243AB">
        <w:rPr>
          <w:rFonts w:ascii="Arial" w:hAnsi="Arial" w:cs="Arial"/>
          <w:b/>
          <w:color w:val="auto"/>
          <w:spacing w:val="1"/>
          <w:sz w:val="28"/>
          <w:szCs w:val="28"/>
        </w:rPr>
        <w:t>.2019</w:t>
      </w:r>
      <w:bookmarkStart w:id="0" w:name="_GoBack"/>
      <w:bookmarkEnd w:id="0"/>
    </w:p>
    <w:p w:rsidR="007625C8" w:rsidRPr="007F5834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625C8" w:rsidRPr="007F5834" w:rsidRDefault="007625C8" w:rsidP="007625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17FA8" w:rsidRPr="007F5834" w:rsidRDefault="00E92137" w:rsidP="00D17FA8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</w:t>
      </w:r>
      <w:r w:rsidR="009240B8">
        <w:rPr>
          <w:rFonts w:ascii="Arial" w:hAnsi="Arial" w:cs="Arial"/>
          <w:b/>
          <w:sz w:val="28"/>
        </w:rPr>
        <w:t>ÖHR</w:t>
      </w:r>
      <w:r>
        <w:rPr>
          <w:rFonts w:ascii="Arial" w:hAnsi="Arial" w:cs="Arial"/>
          <w:sz w:val="28"/>
          <w:szCs w:val="28"/>
        </w:rPr>
        <w:t>®</w:t>
      </w:r>
      <w:r w:rsidR="00D17FA8">
        <w:rPr>
          <w:rFonts w:ascii="Arial" w:hAnsi="Arial" w:cs="Arial"/>
          <w:b/>
          <w:sz w:val="28"/>
        </w:rPr>
        <w:t xml:space="preserve"> </w:t>
      </w:r>
      <w:r w:rsidR="004753D7">
        <w:rPr>
          <w:rFonts w:ascii="Arial" w:hAnsi="Arial" w:cs="Arial"/>
          <w:b/>
          <w:sz w:val="28"/>
        </w:rPr>
        <w:t>erweitert</w:t>
      </w:r>
      <w:r w:rsidR="00AF23A2">
        <w:rPr>
          <w:rFonts w:ascii="Arial" w:hAnsi="Arial" w:cs="Arial"/>
          <w:b/>
          <w:sz w:val="28"/>
        </w:rPr>
        <w:t xml:space="preserve"> </w:t>
      </w:r>
      <w:r w:rsidR="000007F2">
        <w:rPr>
          <w:rFonts w:ascii="Arial" w:hAnsi="Arial" w:cs="Arial"/>
          <w:b/>
          <w:sz w:val="28"/>
        </w:rPr>
        <w:t>Standard-</w:t>
      </w:r>
      <w:r w:rsidR="00AF23A2">
        <w:rPr>
          <w:rFonts w:ascii="Arial" w:hAnsi="Arial" w:cs="Arial"/>
          <w:b/>
          <w:sz w:val="28"/>
        </w:rPr>
        <w:t>Produktprogramm im Bereich kapazitiver Eingabesysteme</w:t>
      </w:r>
    </w:p>
    <w:p w:rsidR="00EC4780" w:rsidRDefault="00EC4780" w:rsidP="003B1BDA">
      <w:pPr>
        <w:pStyle w:val="KeinLeerraum"/>
        <w:rPr>
          <w:rFonts w:ascii="Arial" w:hAnsi="Arial" w:cs="Arial"/>
          <w:b/>
          <w:sz w:val="28"/>
        </w:rPr>
      </w:pPr>
    </w:p>
    <w:p w:rsidR="001E61FB" w:rsidRPr="00226898" w:rsidRDefault="00962481" w:rsidP="00226898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CapiSwitch Gehäusesystem CSGH</w:t>
      </w:r>
    </w:p>
    <w:p w:rsidR="000007F2" w:rsidRDefault="00962481" w:rsidP="00962481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Die Richard Wöh</w:t>
      </w:r>
      <w:r w:rsidR="00492808">
        <w:rPr>
          <w:rFonts w:ascii="Arial" w:hAnsi="Arial" w:cs="Arial"/>
        </w:rPr>
        <w:t>r GmbH mit Sitz in Höfen/</w:t>
      </w:r>
      <w:r>
        <w:rPr>
          <w:rFonts w:ascii="Arial" w:hAnsi="Arial" w:cs="Arial"/>
        </w:rPr>
        <w:t>Enz</w:t>
      </w:r>
      <w:r w:rsidR="00492808">
        <w:rPr>
          <w:rFonts w:ascii="Arial" w:hAnsi="Arial" w:cs="Arial"/>
        </w:rPr>
        <w:t xml:space="preserve"> im Nordschwarzwald</w:t>
      </w:r>
      <w:r>
        <w:rPr>
          <w:rFonts w:ascii="Arial" w:hAnsi="Arial" w:cs="Arial"/>
        </w:rPr>
        <w:t xml:space="preserve"> erweitert mit dem CapiSwitch Gehäusesystem CSGH </w:t>
      </w:r>
      <w:r w:rsidR="004753D7">
        <w:rPr>
          <w:rFonts w:ascii="Arial" w:hAnsi="Arial" w:cs="Arial"/>
        </w:rPr>
        <w:t xml:space="preserve">das Produktprogramm </w:t>
      </w:r>
      <w:r>
        <w:rPr>
          <w:rFonts w:ascii="Arial" w:hAnsi="Arial" w:cs="Arial"/>
        </w:rPr>
        <w:t>um</w:t>
      </w:r>
      <w:r w:rsidR="004753D7">
        <w:rPr>
          <w:rFonts w:ascii="Arial" w:hAnsi="Arial" w:cs="Arial"/>
        </w:rPr>
        <w:t xml:space="preserve"> neue </w:t>
      </w:r>
      <w:r>
        <w:rPr>
          <w:rFonts w:ascii="Arial" w:hAnsi="Arial" w:cs="Arial"/>
        </w:rPr>
        <w:t>kapazit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ve Eingabesystem</w:t>
      </w:r>
      <w:r w:rsidR="000007F2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492808">
        <w:rPr>
          <w:rFonts w:ascii="Arial" w:hAnsi="Arial" w:cs="Arial"/>
        </w:rPr>
        <w:t xml:space="preserve"> </w:t>
      </w:r>
      <w:r w:rsidR="00553DB3">
        <w:rPr>
          <w:rFonts w:ascii="Arial" w:hAnsi="Arial" w:cs="Arial"/>
        </w:rPr>
        <w:t>Nach eigenen Angaben bietet</w:t>
      </w:r>
      <w:r w:rsidR="00492808">
        <w:rPr>
          <w:rFonts w:ascii="Arial" w:hAnsi="Arial" w:cs="Arial"/>
        </w:rPr>
        <w:t xml:space="preserve"> W</w:t>
      </w:r>
      <w:r w:rsidR="004A4E94">
        <w:rPr>
          <w:rFonts w:ascii="Arial" w:hAnsi="Arial" w:cs="Arial"/>
        </w:rPr>
        <w:t>ÖHR</w:t>
      </w:r>
      <w:r w:rsidR="00492808">
        <w:rPr>
          <w:rFonts w:ascii="Arial" w:hAnsi="Arial" w:cs="Arial"/>
        </w:rPr>
        <w:t xml:space="preserve"> </w:t>
      </w:r>
      <w:r w:rsidR="004A4E94">
        <w:rPr>
          <w:rFonts w:ascii="Arial" w:hAnsi="Arial" w:cs="Arial"/>
        </w:rPr>
        <w:t>mit dem CapiSwitch Gehäusesystem CSGH</w:t>
      </w:r>
      <w:r w:rsidR="00492808">
        <w:rPr>
          <w:rFonts w:ascii="Arial" w:hAnsi="Arial" w:cs="Arial"/>
        </w:rPr>
        <w:t xml:space="preserve"> als erster Hersteller ein derartiges Programm</w:t>
      </w:r>
      <w:r w:rsidR="004A4E94">
        <w:rPr>
          <w:rFonts w:ascii="Arial" w:hAnsi="Arial" w:cs="Arial"/>
        </w:rPr>
        <w:t xml:space="preserve"> von</w:t>
      </w:r>
      <w:r w:rsidR="00553DB3">
        <w:rPr>
          <w:rFonts w:ascii="Arial" w:hAnsi="Arial" w:cs="Arial"/>
        </w:rPr>
        <w:t xml:space="preserve"> </w:t>
      </w:r>
      <w:r w:rsidR="004A4E94">
        <w:rPr>
          <w:rFonts w:ascii="Arial" w:hAnsi="Arial" w:cs="Arial"/>
        </w:rPr>
        <w:t>Sta</w:t>
      </w:r>
      <w:r w:rsidR="004A4E94">
        <w:rPr>
          <w:rFonts w:ascii="Arial" w:hAnsi="Arial" w:cs="Arial"/>
        </w:rPr>
        <w:t>n</w:t>
      </w:r>
      <w:r w:rsidR="004A4E94">
        <w:rPr>
          <w:rFonts w:ascii="Arial" w:hAnsi="Arial" w:cs="Arial"/>
        </w:rPr>
        <w:t>dard-</w:t>
      </w:r>
      <w:r w:rsidR="00553DB3">
        <w:rPr>
          <w:rFonts w:ascii="Arial" w:hAnsi="Arial" w:cs="Arial"/>
        </w:rPr>
        <w:t>Gehäusesystemen</w:t>
      </w:r>
      <w:r w:rsidR="00492808">
        <w:rPr>
          <w:rFonts w:ascii="Arial" w:hAnsi="Arial" w:cs="Arial"/>
        </w:rPr>
        <w:t xml:space="preserve"> für die kapazitive Eingabe an.</w:t>
      </w:r>
      <w:r w:rsidR="000007F2">
        <w:rPr>
          <w:rFonts w:ascii="Arial" w:hAnsi="Arial" w:cs="Arial"/>
        </w:rPr>
        <w:t xml:space="preserve"> Für den Kunden bietet dies den Vorteil, dass die kapazitiven Eingabesysteme sofort ab Lager verfügbar sind und keine Einmal- bzw. Entwicklungskosten für die Standard-Systeme anfallen.</w:t>
      </w:r>
    </w:p>
    <w:p w:rsidR="00962481" w:rsidRDefault="00962481" w:rsidP="00962481">
      <w:pPr>
        <w:pStyle w:val="KeinLeerraum"/>
        <w:jc w:val="both"/>
        <w:rPr>
          <w:rFonts w:ascii="Arial" w:hAnsi="Arial" w:cs="Arial"/>
        </w:rPr>
      </w:pPr>
    </w:p>
    <w:p w:rsidR="00406C6B" w:rsidRDefault="00406C6B" w:rsidP="00962481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Generell vereint d</w:t>
      </w:r>
      <w:r w:rsidR="00962481">
        <w:rPr>
          <w:rFonts w:ascii="Arial" w:hAnsi="Arial" w:cs="Arial"/>
        </w:rPr>
        <w:t xml:space="preserve">as CapiSwitch Gehäusesystem CSGH </w:t>
      </w:r>
      <w:r w:rsidR="0051167D">
        <w:rPr>
          <w:rFonts w:ascii="Arial" w:hAnsi="Arial" w:cs="Arial"/>
        </w:rPr>
        <w:t xml:space="preserve">eine kapazitive Tastatur mit </w:t>
      </w:r>
      <w:r>
        <w:rPr>
          <w:rFonts w:ascii="Arial" w:hAnsi="Arial" w:cs="Arial"/>
        </w:rPr>
        <w:t xml:space="preserve">einem </w:t>
      </w:r>
      <w:r w:rsidR="0051167D" w:rsidRPr="0051167D">
        <w:rPr>
          <w:rFonts w:ascii="Arial" w:hAnsi="Arial" w:cs="Arial"/>
        </w:rPr>
        <w:t xml:space="preserve">Handgehäuse in funktionaler Weise. </w:t>
      </w:r>
      <w:r>
        <w:rPr>
          <w:rFonts w:ascii="Arial" w:hAnsi="Arial" w:cs="Arial"/>
        </w:rPr>
        <w:t>Aufgrund der Variantenvielfalt der Richard Wöhr GmbH</w:t>
      </w:r>
      <w:r w:rsidR="004753D7">
        <w:rPr>
          <w:rFonts w:ascii="Arial" w:hAnsi="Arial" w:cs="Arial"/>
        </w:rPr>
        <w:t xml:space="preserve"> bezüglich Handgehäusen und</w:t>
      </w:r>
      <w:r>
        <w:rPr>
          <w:rFonts w:ascii="Arial" w:hAnsi="Arial" w:cs="Arial"/>
        </w:rPr>
        <w:t xml:space="preserve"> Tastaturen ist d</w:t>
      </w:r>
      <w:r w:rsidR="0051167D" w:rsidRPr="0051167D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neue </w:t>
      </w:r>
      <w:r w:rsidR="0051167D" w:rsidRPr="0051167D">
        <w:rPr>
          <w:rFonts w:ascii="Arial" w:hAnsi="Arial" w:cs="Arial"/>
        </w:rPr>
        <w:t>Ko</w:t>
      </w:r>
      <w:r w:rsidR="0051167D" w:rsidRPr="0051167D">
        <w:rPr>
          <w:rFonts w:ascii="Arial" w:hAnsi="Arial" w:cs="Arial"/>
        </w:rPr>
        <w:t>m</w:t>
      </w:r>
      <w:r w:rsidR="0051167D" w:rsidRPr="0051167D">
        <w:rPr>
          <w:rFonts w:ascii="Arial" w:hAnsi="Arial" w:cs="Arial"/>
        </w:rPr>
        <w:t>bination aus kapazitiver</w:t>
      </w:r>
      <w:r>
        <w:rPr>
          <w:rFonts w:ascii="Arial" w:hAnsi="Arial" w:cs="Arial"/>
        </w:rPr>
        <w:t xml:space="preserve"> Eingabetechnologie und Gehäuse</w:t>
      </w:r>
      <w:r w:rsidR="0051167D" w:rsidRPr="0051167D">
        <w:rPr>
          <w:rFonts w:ascii="Arial" w:hAnsi="Arial" w:cs="Arial"/>
        </w:rPr>
        <w:t xml:space="preserve"> in vielen verschiedenen Ausführungen möglich.</w:t>
      </w:r>
    </w:p>
    <w:p w:rsidR="00406C6B" w:rsidRDefault="00406C6B" w:rsidP="00962481">
      <w:pPr>
        <w:pStyle w:val="KeinLeerraum"/>
        <w:jc w:val="both"/>
        <w:rPr>
          <w:rFonts w:ascii="Arial" w:hAnsi="Arial" w:cs="Arial"/>
        </w:rPr>
      </w:pPr>
    </w:p>
    <w:p w:rsidR="00920C87" w:rsidRDefault="004753D7" w:rsidP="00962481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Als Basis dienen</w:t>
      </w:r>
      <w:r w:rsidR="00406C6B">
        <w:rPr>
          <w:rFonts w:ascii="Arial" w:hAnsi="Arial" w:cs="Arial"/>
        </w:rPr>
        <w:t xml:space="preserve"> </w:t>
      </w:r>
      <w:r w:rsidR="00F54D9B">
        <w:rPr>
          <w:rFonts w:ascii="Arial" w:hAnsi="Arial" w:cs="Arial"/>
        </w:rPr>
        <w:t>die bewährten</w:t>
      </w:r>
      <w:r w:rsidR="00406C6B">
        <w:rPr>
          <w:rFonts w:ascii="Arial" w:hAnsi="Arial" w:cs="Arial"/>
        </w:rPr>
        <w:t xml:space="preserve"> Kunsts</w:t>
      </w:r>
      <w:r w:rsidR="00F54D9B">
        <w:rPr>
          <w:rFonts w:ascii="Arial" w:hAnsi="Arial" w:cs="Arial"/>
        </w:rPr>
        <w:t>toff</w:t>
      </w:r>
      <w:r>
        <w:rPr>
          <w:rFonts w:ascii="Arial" w:hAnsi="Arial" w:cs="Arial"/>
        </w:rPr>
        <w:t>-Hand</w:t>
      </w:r>
      <w:r w:rsidR="00F54D9B">
        <w:rPr>
          <w:rFonts w:ascii="Arial" w:hAnsi="Arial" w:cs="Arial"/>
        </w:rPr>
        <w:t>gehäuse der TAW-Serie</w:t>
      </w:r>
      <w:r w:rsidR="00406C6B">
        <w:rPr>
          <w:rFonts w:ascii="Arial" w:hAnsi="Arial" w:cs="Arial"/>
        </w:rPr>
        <w:t>.</w:t>
      </w:r>
      <w:r w:rsidR="0051167D" w:rsidRPr="00511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 werden</w:t>
      </w:r>
      <w:r w:rsidR="00F92754">
        <w:rPr>
          <w:rFonts w:ascii="Arial" w:hAnsi="Arial" w:cs="Arial"/>
        </w:rPr>
        <w:t xml:space="preserve"> </w:t>
      </w:r>
      <w:r w:rsidR="00F54D9B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kapazitiven </w:t>
      </w:r>
      <w:r w:rsidR="00F54D9B">
        <w:rPr>
          <w:rFonts w:ascii="Arial" w:hAnsi="Arial" w:cs="Arial"/>
        </w:rPr>
        <w:t>Tastaturen bestehend aus</w:t>
      </w:r>
      <w:r w:rsidR="00F92754">
        <w:rPr>
          <w:rFonts w:ascii="Arial" w:hAnsi="Arial" w:cs="Arial"/>
        </w:rPr>
        <w:t xml:space="preserve"> </w:t>
      </w:r>
      <w:r w:rsidR="001A04A3">
        <w:rPr>
          <w:rFonts w:ascii="Arial" w:hAnsi="Arial" w:cs="Arial"/>
        </w:rPr>
        <w:t xml:space="preserve">beispielsweise </w:t>
      </w:r>
      <w:r w:rsidR="00F92754">
        <w:rPr>
          <w:rFonts w:ascii="Arial" w:hAnsi="Arial" w:cs="Arial"/>
        </w:rPr>
        <w:t>acht oder 15</w:t>
      </w:r>
      <w:r>
        <w:rPr>
          <w:rFonts w:ascii="Arial" w:hAnsi="Arial" w:cs="Arial"/>
        </w:rPr>
        <w:t xml:space="preserve"> Tasten oder sechs Tasten und Steuerkreuz bzw. </w:t>
      </w:r>
      <w:r w:rsidR="0051167D" w:rsidRPr="0051167D">
        <w:rPr>
          <w:rFonts w:ascii="Arial" w:hAnsi="Arial" w:cs="Arial"/>
        </w:rPr>
        <w:t>Wheel</w:t>
      </w:r>
      <w:r w:rsidR="00F54D9B">
        <w:rPr>
          <w:rFonts w:ascii="Arial" w:hAnsi="Arial" w:cs="Arial"/>
        </w:rPr>
        <w:t xml:space="preserve"> ausgerüs</w:t>
      </w:r>
      <w:r>
        <w:rPr>
          <w:rFonts w:ascii="Arial" w:hAnsi="Arial" w:cs="Arial"/>
        </w:rPr>
        <w:t>tet</w:t>
      </w:r>
      <w:r w:rsidR="0051167D" w:rsidRPr="0051167D">
        <w:rPr>
          <w:rFonts w:ascii="Arial" w:hAnsi="Arial" w:cs="Arial"/>
        </w:rPr>
        <w:t>.</w:t>
      </w:r>
      <w:r w:rsidR="00492808">
        <w:rPr>
          <w:rFonts w:ascii="Arial" w:hAnsi="Arial" w:cs="Arial"/>
        </w:rPr>
        <w:t xml:space="preserve"> Diese</w:t>
      </w:r>
      <w:r w:rsidR="00553DB3">
        <w:rPr>
          <w:rFonts w:ascii="Arial" w:hAnsi="Arial" w:cs="Arial"/>
        </w:rPr>
        <w:t xml:space="preserve"> ve</w:t>
      </w:r>
      <w:r w:rsidR="00553DB3">
        <w:rPr>
          <w:rFonts w:ascii="Arial" w:hAnsi="Arial" w:cs="Arial"/>
        </w:rPr>
        <w:t>r</w:t>
      </w:r>
      <w:r w:rsidR="00553DB3">
        <w:rPr>
          <w:rFonts w:ascii="Arial" w:hAnsi="Arial" w:cs="Arial"/>
        </w:rPr>
        <w:t>schiedenen Versionen sind standardmäßig</w:t>
      </w:r>
      <w:r w:rsidR="004A4E94">
        <w:rPr>
          <w:rFonts w:ascii="Arial" w:hAnsi="Arial" w:cs="Arial"/>
        </w:rPr>
        <w:t xml:space="preserve"> und direkt</w:t>
      </w:r>
      <w:r w:rsidR="00553DB3">
        <w:rPr>
          <w:rFonts w:ascii="Arial" w:hAnsi="Arial" w:cs="Arial"/>
        </w:rPr>
        <w:t xml:space="preserve"> ab Lager verfügbar.</w:t>
      </w:r>
    </w:p>
    <w:p w:rsidR="00A301CC" w:rsidRDefault="00A301CC" w:rsidP="0051167D">
      <w:pPr>
        <w:pStyle w:val="KeinLeerraum"/>
        <w:jc w:val="both"/>
        <w:rPr>
          <w:rFonts w:ascii="Arial" w:hAnsi="Arial" w:cs="Arial"/>
        </w:rPr>
      </w:pPr>
    </w:p>
    <w:p w:rsidR="00A077A7" w:rsidRDefault="00C019D4" w:rsidP="00C019D4">
      <w:pPr>
        <w:pStyle w:val="KeinLeerraum"/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4288155" cy="2860675"/>
            <wp:effectExtent l="0" t="0" r="0" b="0"/>
            <wp:docPr id="3" name="Grafik 3" descr="CapiSwitch GehÃ¤usesystem CS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iSwitch GehÃ¤usesystem CSG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D4" w:rsidRDefault="00C019D4" w:rsidP="00C019D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Natürlich sind kundenspezifische Anpassungen der kapazitiven Tastatur und des verwendeten Gehäuses hinsichtlich Optik, Haptik und Funktionalität auf Anfrage jederzeit</w:t>
      </w:r>
      <w:r w:rsidR="000007F2">
        <w:rPr>
          <w:rFonts w:ascii="Arial" w:hAnsi="Arial" w:cs="Arial"/>
        </w:rPr>
        <w:t xml:space="preserve"> </w:t>
      </w:r>
      <w:r w:rsidR="00B844EC">
        <w:rPr>
          <w:rFonts w:ascii="Arial" w:hAnsi="Arial" w:cs="Arial"/>
        </w:rPr>
        <w:t xml:space="preserve">schnell </w:t>
      </w:r>
      <w:r w:rsidR="000007F2">
        <w:rPr>
          <w:rFonts w:ascii="Arial" w:hAnsi="Arial" w:cs="Arial"/>
        </w:rPr>
        <w:t>und kostengünstig</w:t>
      </w:r>
      <w:r>
        <w:rPr>
          <w:rFonts w:ascii="Arial" w:hAnsi="Arial" w:cs="Arial"/>
        </w:rPr>
        <w:t xml:space="preserve"> realisierbar.</w:t>
      </w:r>
      <w:r w:rsidR="00492808">
        <w:rPr>
          <w:rFonts w:ascii="Arial" w:hAnsi="Arial" w:cs="Arial"/>
        </w:rPr>
        <w:t xml:space="preserve"> Optional ist a</w:t>
      </w:r>
      <w:r w:rsidR="004A4E94">
        <w:rPr>
          <w:rFonts w:ascii="Arial" w:hAnsi="Arial" w:cs="Arial"/>
        </w:rPr>
        <w:t xml:space="preserve">uch die Lieferung von </w:t>
      </w:r>
      <w:r w:rsidR="00230030">
        <w:rPr>
          <w:rFonts w:ascii="Arial" w:hAnsi="Arial" w:cs="Arial"/>
        </w:rPr>
        <w:t>passen</w:t>
      </w:r>
      <w:r w:rsidR="0052029C">
        <w:rPr>
          <w:rFonts w:ascii="Arial" w:hAnsi="Arial" w:cs="Arial"/>
        </w:rPr>
        <w:t>der</w:t>
      </w:r>
      <w:r w:rsidR="00FE0E00">
        <w:rPr>
          <w:rFonts w:ascii="Arial" w:hAnsi="Arial" w:cs="Arial"/>
        </w:rPr>
        <w:t xml:space="preserve"> kundenspezifi</w:t>
      </w:r>
      <w:r w:rsidR="0052029C">
        <w:rPr>
          <w:rFonts w:ascii="Arial" w:hAnsi="Arial" w:cs="Arial"/>
        </w:rPr>
        <w:t>scher oder universeller</w:t>
      </w:r>
      <w:r w:rsidR="004A4E94">
        <w:rPr>
          <w:rFonts w:ascii="Arial" w:hAnsi="Arial" w:cs="Arial"/>
        </w:rPr>
        <w:t xml:space="preserve"> Auswertee</w:t>
      </w:r>
      <w:r w:rsidR="00492808">
        <w:rPr>
          <w:rFonts w:ascii="Arial" w:hAnsi="Arial" w:cs="Arial"/>
        </w:rPr>
        <w:t>lektronik möglich.</w:t>
      </w:r>
    </w:p>
    <w:p w:rsidR="00C019D4" w:rsidRDefault="00C019D4" w:rsidP="0051167D">
      <w:pPr>
        <w:pStyle w:val="KeinLeerraum"/>
        <w:jc w:val="both"/>
        <w:rPr>
          <w:rFonts w:ascii="Arial" w:hAnsi="Arial" w:cs="Arial"/>
        </w:rPr>
      </w:pPr>
    </w:p>
    <w:p w:rsidR="00A077A7" w:rsidRDefault="00920C87" w:rsidP="0051167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Technische D</w:t>
      </w:r>
      <w:r w:rsidR="00C019D4">
        <w:rPr>
          <w:rFonts w:ascii="Arial" w:hAnsi="Arial" w:cs="Arial"/>
        </w:rPr>
        <w:t>etails</w:t>
      </w:r>
      <w:r>
        <w:rPr>
          <w:rFonts w:ascii="Arial" w:hAnsi="Arial" w:cs="Arial"/>
        </w:rPr>
        <w:t>:</w:t>
      </w:r>
    </w:p>
    <w:p w:rsidR="00A077A7" w:rsidRDefault="00A077A7" w:rsidP="003B1BD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953"/>
      </w:tblGrid>
      <w:tr w:rsidR="00920C87" w:rsidRPr="00313017" w:rsidTr="00EF7584">
        <w:trPr>
          <w:trHeight w:val="454"/>
        </w:trPr>
        <w:tc>
          <w:tcPr>
            <w:tcW w:w="2127" w:type="dxa"/>
            <w:vAlign w:val="center"/>
          </w:tcPr>
          <w:p w:rsidR="00920C87" w:rsidRPr="00670C58" w:rsidRDefault="00226898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  <w:sz w:val="20"/>
                <w:szCs w:val="20"/>
                <w:lang w:val="de-DE" w:eastAsia="x-none"/>
              </w:rPr>
            </w:pPr>
            <w:r w:rsidRPr="00670C58">
              <w:rPr>
                <w:sz w:val="20"/>
                <w:szCs w:val="20"/>
              </w:rPr>
              <w:t>Gehäuse:</w:t>
            </w:r>
          </w:p>
        </w:tc>
        <w:tc>
          <w:tcPr>
            <w:tcW w:w="5953" w:type="dxa"/>
            <w:vAlign w:val="center"/>
          </w:tcPr>
          <w:p w:rsidR="00920C87" w:rsidRPr="00670C58" w:rsidRDefault="00226898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color w:val="000000"/>
                <w:sz w:val="20"/>
                <w:szCs w:val="20"/>
                <w:lang w:val="de-DE" w:eastAsia="x-none"/>
              </w:rPr>
            </w:pPr>
            <w:r w:rsidRPr="00670C58">
              <w:rPr>
                <w:sz w:val="20"/>
                <w:szCs w:val="20"/>
              </w:rPr>
              <w:t>aus ABS</w:t>
            </w:r>
            <w:r w:rsidRPr="00670C58">
              <w:rPr>
                <w:sz w:val="20"/>
                <w:szCs w:val="20"/>
              </w:rPr>
              <w:br/>
              <w:t>incl. Ausbruch für Folienkabelschlitz</w:t>
            </w:r>
          </w:p>
        </w:tc>
      </w:tr>
      <w:tr w:rsidR="00670C58" w:rsidRPr="00F00CF0" w:rsidTr="00EF7584">
        <w:trPr>
          <w:trHeight w:val="454"/>
        </w:trPr>
        <w:tc>
          <w:tcPr>
            <w:tcW w:w="2127" w:type="dxa"/>
            <w:vAlign w:val="center"/>
          </w:tcPr>
          <w:p w:rsidR="00670C58" w:rsidRDefault="00670C58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Maße:</w:t>
            </w:r>
          </w:p>
          <w:p w:rsidR="00F00CF0" w:rsidRPr="00F00CF0" w:rsidRDefault="00F00CF0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(nach Gehäuseserie)</w:t>
            </w:r>
          </w:p>
        </w:tc>
        <w:tc>
          <w:tcPr>
            <w:tcW w:w="5953" w:type="dxa"/>
            <w:vAlign w:val="center"/>
          </w:tcPr>
          <w:p w:rsidR="00670C58" w:rsidRPr="00FE0E00" w:rsidRDefault="00F00CF0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en-US"/>
              </w:rPr>
            </w:pPr>
            <w:r w:rsidRPr="00FE0E00">
              <w:rPr>
                <w:sz w:val="20"/>
                <w:szCs w:val="20"/>
                <w:lang w:val="en-US"/>
              </w:rPr>
              <w:t>MICRO TAW</w:t>
            </w:r>
            <w:r w:rsidRPr="00FE0E00">
              <w:rPr>
                <w:sz w:val="20"/>
                <w:szCs w:val="20"/>
                <w:lang w:val="en-US"/>
              </w:rPr>
              <w:tab/>
            </w:r>
            <w:r w:rsidRPr="00FE0E00">
              <w:rPr>
                <w:sz w:val="20"/>
                <w:szCs w:val="20"/>
                <w:lang w:val="en-US"/>
              </w:rPr>
              <w:tab/>
            </w:r>
            <w:r w:rsidR="00670C58" w:rsidRPr="00670C58">
              <w:rPr>
                <w:sz w:val="20"/>
                <w:szCs w:val="20"/>
              </w:rPr>
              <w:t>150 x 48 x 28 mm</w:t>
            </w:r>
          </w:p>
          <w:p w:rsidR="00670C58" w:rsidRPr="00F00CF0" w:rsidRDefault="00F00CF0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en-US"/>
              </w:rPr>
            </w:pPr>
            <w:r w:rsidRPr="00F00CF0">
              <w:rPr>
                <w:sz w:val="20"/>
                <w:szCs w:val="20"/>
                <w:lang w:val="en-US"/>
              </w:rPr>
              <w:t>MINI TAW</w:t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="00670C58" w:rsidRPr="00670C58">
              <w:rPr>
                <w:sz w:val="20"/>
                <w:szCs w:val="20"/>
              </w:rPr>
              <w:t>182,5 x 85/62 x 30/25,2 mm</w:t>
            </w:r>
          </w:p>
          <w:p w:rsidR="00670C58" w:rsidRPr="00670C58" w:rsidRDefault="00F00CF0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MEDIUM TAW</w:t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="00D56AFA">
              <w:rPr>
                <w:sz w:val="20"/>
                <w:szCs w:val="20"/>
              </w:rPr>
              <w:t>216</w:t>
            </w:r>
            <w:r w:rsidR="00D56AFA">
              <w:rPr>
                <w:sz w:val="20"/>
                <w:szCs w:val="20"/>
                <w:lang w:val="de-DE"/>
              </w:rPr>
              <w:t xml:space="preserve"> </w:t>
            </w:r>
            <w:r w:rsidR="00670C58" w:rsidRPr="00670C58">
              <w:rPr>
                <w:sz w:val="20"/>
                <w:szCs w:val="20"/>
              </w:rPr>
              <w:t>x 92/75/82 x 40/30 mm</w:t>
            </w:r>
          </w:p>
          <w:p w:rsidR="00670C58" w:rsidRPr="00F00CF0" w:rsidRDefault="00F00CF0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en-US"/>
              </w:rPr>
            </w:pPr>
            <w:r w:rsidRPr="00F00CF0">
              <w:rPr>
                <w:sz w:val="20"/>
                <w:szCs w:val="20"/>
                <w:lang w:val="en-US"/>
              </w:rPr>
              <w:t>MAXI TAW</w:t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Pr="00F00CF0">
              <w:rPr>
                <w:sz w:val="20"/>
                <w:szCs w:val="20"/>
                <w:lang w:val="en-US"/>
              </w:rPr>
              <w:tab/>
            </w:r>
            <w:r w:rsidR="00670C58" w:rsidRPr="00670C58">
              <w:rPr>
                <w:sz w:val="20"/>
                <w:szCs w:val="20"/>
              </w:rPr>
              <w:t>253 x 116/89/96 x 46/36 mm</w:t>
            </w:r>
          </w:p>
        </w:tc>
      </w:tr>
      <w:tr w:rsidR="00226898" w:rsidRPr="00313017" w:rsidTr="00C019D4">
        <w:trPr>
          <w:trHeight w:val="228"/>
        </w:trPr>
        <w:tc>
          <w:tcPr>
            <w:tcW w:w="2127" w:type="dxa"/>
            <w:vAlign w:val="center"/>
          </w:tcPr>
          <w:p w:rsidR="00226898" w:rsidRPr="00670C58" w:rsidRDefault="00226898" w:rsidP="00A70A5B">
            <w:pPr>
              <w:pStyle w:val="Normal"/>
              <w:rPr>
                <w:rFonts w:eastAsia="Times New Roman"/>
                <w:sz w:val="20"/>
                <w:szCs w:val="20"/>
                <w:lang w:val="de-DE" w:eastAsia="x-none"/>
              </w:rPr>
            </w:pPr>
            <w:r w:rsidRPr="00670C58">
              <w:rPr>
                <w:sz w:val="20"/>
                <w:szCs w:val="20"/>
              </w:rPr>
              <w:t>Farbe:</w:t>
            </w:r>
          </w:p>
        </w:tc>
        <w:tc>
          <w:tcPr>
            <w:tcW w:w="5953" w:type="dxa"/>
            <w:vAlign w:val="center"/>
          </w:tcPr>
          <w:p w:rsidR="004B2F1E" w:rsidRDefault="004B2F1E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eastAsia="Times New Roman"/>
                <w:sz w:val="20"/>
                <w:szCs w:val="20"/>
                <w:lang w:val="de-DE"/>
              </w:rPr>
            </w:pPr>
            <w:r>
              <w:rPr>
                <w:rFonts w:eastAsia="Times New Roman"/>
                <w:sz w:val="20"/>
                <w:szCs w:val="20"/>
                <w:lang w:val="de-DE"/>
              </w:rPr>
              <w:t xml:space="preserve">Grundfarbe: </w:t>
            </w:r>
            <w:r w:rsidR="00226898" w:rsidRPr="00670C58">
              <w:rPr>
                <w:rFonts w:eastAsia="Times New Roman"/>
                <w:sz w:val="20"/>
                <w:szCs w:val="20"/>
              </w:rPr>
              <w:t>lichtgrau RAL 7035</w:t>
            </w:r>
            <w:r>
              <w:rPr>
                <w:rFonts w:eastAsia="Times New Roman"/>
                <w:sz w:val="20"/>
                <w:szCs w:val="20"/>
                <w:lang w:val="de-DE"/>
              </w:rPr>
              <w:t xml:space="preserve"> zuzüglich Schriftfarbe</w:t>
            </w:r>
            <w:r w:rsidR="00226898" w:rsidRPr="00670C5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26898" w:rsidRPr="00670C58" w:rsidRDefault="00226898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</w:rPr>
            </w:pPr>
            <w:r w:rsidRPr="00226898">
              <w:rPr>
                <w:rFonts w:eastAsia="Times New Roman"/>
                <w:sz w:val="20"/>
                <w:szCs w:val="20"/>
              </w:rPr>
              <w:t>(weitere</w:t>
            </w:r>
            <w:r w:rsidR="004B2F1E">
              <w:rPr>
                <w:rFonts w:eastAsia="Times New Roman"/>
                <w:sz w:val="20"/>
                <w:szCs w:val="20"/>
                <w:lang w:val="de-DE"/>
              </w:rPr>
              <w:t xml:space="preserve"> Farben</w:t>
            </w:r>
            <w:r w:rsidRPr="00226898">
              <w:rPr>
                <w:rFonts w:eastAsia="Times New Roman"/>
                <w:sz w:val="20"/>
                <w:szCs w:val="20"/>
              </w:rPr>
              <w:t xml:space="preserve"> auf Anfrage)</w:t>
            </w:r>
          </w:p>
        </w:tc>
      </w:tr>
      <w:tr w:rsidR="00226898" w:rsidRPr="00313017" w:rsidTr="00EF7584">
        <w:trPr>
          <w:trHeight w:val="227"/>
        </w:trPr>
        <w:tc>
          <w:tcPr>
            <w:tcW w:w="2127" w:type="dxa"/>
            <w:vAlign w:val="center"/>
          </w:tcPr>
          <w:p w:rsidR="00226898" w:rsidRPr="00670C58" w:rsidRDefault="00226898" w:rsidP="00AC02F3">
            <w:pPr>
              <w:pStyle w:val="Normal"/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Folie:</w:t>
            </w:r>
          </w:p>
        </w:tc>
        <w:tc>
          <w:tcPr>
            <w:tcW w:w="5953" w:type="dxa"/>
            <w:vAlign w:val="center"/>
          </w:tcPr>
          <w:p w:rsidR="00226898" w:rsidRPr="00492808" w:rsidRDefault="00226898" w:rsidP="00AC02F3">
            <w:pPr>
              <w:pStyle w:val="Normal"/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2-farbig hinterdruckt im Digitaldruck</w:t>
            </w:r>
            <w:r w:rsidR="00492808">
              <w:rPr>
                <w:sz w:val="20"/>
                <w:szCs w:val="20"/>
                <w:lang w:val="de-DE"/>
              </w:rPr>
              <w:t xml:space="preserve"> bzw. Siebdruck</w:t>
            </w:r>
          </w:p>
        </w:tc>
      </w:tr>
      <w:tr w:rsidR="00226898" w:rsidRPr="00313017" w:rsidTr="00EF7584">
        <w:trPr>
          <w:trHeight w:val="227"/>
        </w:trPr>
        <w:tc>
          <w:tcPr>
            <w:tcW w:w="2127" w:type="dxa"/>
            <w:vAlign w:val="center"/>
          </w:tcPr>
          <w:p w:rsidR="00226898" w:rsidRPr="00670C58" w:rsidRDefault="00226898" w:rsidP="00A70A5B">
            <w:pPr>
              <w:pStyle w:val="Normal"/>
              <w:rPr>
                <w:sz w:val="20"/>
                <w:szCs w:val="20"/>
                <w:lang w:val="de-DE" w:eastAsia="x-none"/>
              </w:rPr>
            </w:pPr>
            <w:r w:rsidRPr="00670C58">
              <w:rPr>
                <w:sz w:val="20"/>
                <w:szCs w:val="20"/>
              </w:rPr>
              <w:t>Sensorfolie:</w:t>
            </w:r>
          </w:p>
        </w:tc>
        <w:tc>
          <w:tcPr>
            <w:tcW w:w="5953" w:type="dxa"/>
            <w:vAlign w:val="center"/>
          </w:tcPr>
          <w:p w:rsidR="00226898" w:rsidRPr="00670C58" w:rsidRDefault="00226898" w:rsidP="00AC02F3">
            <w:pPr>
              <w:pStyle w:val="Normal"/>
              <w:rPr>
                <w:sz w:val="20"/>
                <w:szCs w:val="20"/>
              </w:rPr>
            </w:pPr>
            <w:r w:rsidRPr="00670C58">
              <w:rPr>
                <w:rFonts w:eastAsia="Times New Roman"/>
                <w:sz w:val="20"/>
                <w:szCs w:val="20"/>
              </w:rPr>
              <w:t xml:space="preserve">aus Polyester, </w:t>
            </w:r>
            <w:r w:rsidRPr="00226898">
              <w:rPr>
                <w:rFonts w:eastAsia="Times New Roman"/>
                <w:sz w:val="20"/>
                <w:szCs w:val="20"/>
              </w:rPr>
              <w:t>Folienkabellänge 80 mm</w:t>
            </w:r>
          </w:p>
        </w:tc>
      </w:tr>
      <w:tr w:rsidR="00226898" w:rsidRPr="00313017" w:rsidTr="00EF7584">
        <w:trPr>
          <w:trHeight w:val="454"/>
        </w:trPr>
        <w:tc>
          <w:tcPr>
            <w:tcW w:w="2127" w:type="dxa"/>
            <w:vAlign w:val="center"/>
          </w:tcPr>
          <w:p w:rsidR="00226898" w:rsidRPr="00670C58" w:rsidRDefault="00226898" w:rsidP="00AC02F3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Ausführungen:</w:t>
            </w:r>
          </w:p>
        </w:tc>
        <w:tc>
          <w:tcPr>
            <w:tcW w:w="5953" w:type="dxa"/>
            <w:vAlign w:val="center"/>
          </w:tcPr>
          <w:p w:rsidR="00CA0468" w:rsidRDefault="00226898" w:rsidP="00CA0468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8 Tasten</w:t>
            </w:r>
          </w:p>
          <w:p w:rsidR="00C019D4" w:rsidRPr="00C019D4" w:rsidRDefault="00C019D4" w:rsidP="00CA0468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6 Tasten und Steuerkreuz</w:t>
            </w:r>
          </w:p>
          <w:p w:rsidR="00EF7584" w:rsidRPr="00EF7584" w:rsidRDefault="00EF7584" w:rsidP="00CA0468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 Tasten</w:t>
            </w:r>
          </w:p>
          <w:p w:rsidR="00226898" w:rsidRPr="00EF7584" w:rsidRDefault="00226898" w:rsidP="00EF7584">
            <w:pPr>
              <w:pStyle w:val="Normal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0"/>
                <w:szCs w:val="20"/>
                <w:lang w:val="de-DE"/>
              </w:rPr>
            </w:pPr>
            <w:r w:rsidRPr="00670C58">
              <w:rPr>
                <w:sz w:val="20"/>
                <w:szCs w:val="20"/>
              </w:rPr>
              <w:t>6 Tasten und Wheel</w:t>
            </w:r>
          </w:p>
        </w:tc>
      </w:tr>
    </w:tbl>
    <w:p w:rsidR="00A077A7" w:rsidRDefault="00A077A7" w:rsidP="003B1BDA">
      <w:pPr>
        <w:pStyle w:val="KeinLeerraum"/>
        <w:rPr>
          <w:rFonts w:ascii="Arial" w:hAnsi="Arial" w:cs="Arial"/>
        </w:rPr>
      </w:pPr>
    </w:p>
    <w:p w:rsidR="000A6A13" w:rsidRPr="0062371A" w:rsidRDefault="000A6A13" w:rsidP="003B1BDA">
      <w:pPr>
        <w:pStyle w:val="KeinLeerraum"/>
        <w:rPr>
          <w:rFonts w:ascii="Arial" w:hAnsi="Arial" w:cs="Arial"/>
        </w:rPr>
      </w:pPr>
    </w:p>
    <w:p w:rsidR="000A6A13" w:rsidRPr="0062371A" w:rsidRDefault="00E03352" w:rsidP="003B1BDA">
      <w:pPr>
        <w:pStyle w:val="KeinLeerraum"/>
        <w:rPr>
          <w:rFonts w:ascii="Arial" w:hAnsi="Arial" w:cs="Arial"/>
        </w:rPr>
      </w:pPr>
      <w:r w:rsidRPr="0062371A">
        <w:rPr>
          <w:rFonts w:ascii="Arial" w:hAnsi="Arial" w:cs="Arial"/>
        </w:rPr>
        <w:t>Mehr</w:t>
      </w:r>
      <w:r w:rsidR="000A6A13" w:rsidRPr="0062371A">
        <w:rPr>
          <w:rFonts w:ascii="Arial" w:hAnsi="Arial" w:cs="Arial"/>
        </w:rPr>
        <w:t xml:space="preserve"> Informationen</w:t>
      </w:r>
      <w:r w:rsidR="009D320A" w:rsidRPr="0062371A">
        <w:rPr>
          <w:rFonts w:ascii="Arial" w:hAnsi="Arial" w:cs="Arial"/>
        </w:rPr>
        <w:t xml:space="preserve"> </w:t>
      </w:r>
      <w:r w:rsidR="0051167D">
        <w:rPr>
          <w:rFonts w:ascii="Arial" w:hAnsi="Arial" w:cs="Arial"/>
        </w:rPr>
        <w:t xml:space="preserve">über die Bedienneuheit </w:t>
      </w:r>
      <w:r w:rsidR="00EC714F" w:rsidRPr="0062371A">
        <w:rPr>
          <w:rFonts w:ascii="Arial" w:hAnsi="Arial" w:cs="Arial"/>
        </w:rPr>
        <w:t>finden Sie unter</w:t>
      </w:r>
      <w:r w:rsidR="00A077A7">
        <w:rPr>
          <w:rFonts w:ascii="Arial" w:hAnsi="Arial" w:cs="Arial"/>
        </w:rPr>
        <w:t>:</w:t>
      </w:r>
      <w:r w:rsidR="00EC714F" w:rsidRPr="0062371A">
        <w:rPr>
          <w:rFonts w:ascii="Arial" w:hAnsi="Arial" w:cs="Arial"/>
        </w:rPr>
        <w:t xml:space="preserve"> </w:t>
      </w:r>
      <w:r w:rsidR="00EA748A" w:rsidRPr="00EA748A">
        <w:rPr>
          <w:rFonts w:ascii="Arial" w:hAnsi="Arial" w:cs="Arial"/>
          <w:color w:val="009DA2"/>
        </w:rPr>
        <w:t>https://www.folientastaturen.de/de/produkte/standardtastaturen/capiswitch-gehaeusesystem-csgh/</w:t>
      </w:r>
    </w:p>
    <w:p w:rsidR="000A6A13" w:rsidRPr="0062371A" w:rsidRDefault="000A6A13" w:rsidP="003B1BDA">
      <w:pPr>
        <w:pStyle w:val="KeinLeerraum"/>
        <w:rPr>
          <w:rFonts w:ascii="Arial" w:hAnsi="Arial" w:cs="Arial"/>
        </w:rPr>
      </w:pPr>
    </w:p>
    <w:p w:rsidR="000A6A13" w:rsidRPr="0062371A" w:rsidRDefault="000A6A13" w:rsidP="00143219">
      <w:pPr>
        <w:pStyle w:val="KeinLeerraum"/>
        <w:jc w:val="both"/>
        <w:rPr>
          <w:rFonts w:ascii="Arial" w:hAnsi="Arial" w:cs="Arial"/>
        </w:rPr>
      </w:pPr>
      <w:r w:rsidRPr="0062371A">
        <w:rPr>
          <w:rFonts w:ascii="Arial" w:hAnsi="Arial" w:cs="Arial"/>
        </w:rPr>
        <w:t>Die Richard Wöhr GmbH ist ein mittelständisches Familienunternehmen im Nordschwarzwald. Mit über 90 Mitarbeitern entwickelt, fertigt und vertreibt das Unternehmen weltweit kundenspezifische Komplettlösungen. Besonders Flac</w:t>
      </w:r>
      <w:r w:rsidRPr="0062371A">
        <w:rPr>
          <w:rFonts w:ascii="Arial" w:hAnsi="Arial" w:cs="Arial"/>
        </w:rPr>
        <w:t>h</w:t>
      </w:r>
      <w:r w:rsidRPr="0062371A">
        <w:rPr>
          <w:rFonts w:ascii="Arial" w:hAnsi="Arial" w:cs="Arial"/>
        </w:rPr>
        <w:t>eingabesysteme, Folientastaturen, Touchscreens und Industriekomponenten für die Bereiche Steuern, Bedienen und Anzeigen sowie Industriegehäuse für vielse</w:t>
      </w:r>
      <w:r w:rsidRPr="0062371A">
        <w:rPr>
          <w:rFonts w:ascii="Arial" w:hAnsi="Arial" w:cs="Arial"/>
        </w:rPr>
        <w:t>i</w:t>
      </w:r>
      <w:r w:rsidRPr="0062371A">
        <w:rPr>
          <w:rFonts w:ascii="Arial" w:hAnsi="Arial" w:cs="Arial"/>
        </w:rPr>
        <w:t>tige Anwendungen.</w:t>
      </w:r>
    </w:p>
    <w:p w:rsidR="000A6A13" w:rsidRPr="0062371A" w:rsidRDefault="000A6A13" w:rsidP="003B1BDA">
      <w:pPr>
        <w:pStyle w:val="KeinLeerraum"/>
        <w:rPr>
          <w:rFonts w:ascii="Arial" w:hAnsi="Arial" w:cs="Arial"/>
        </w:rPr>
      </w:pPr>
    </w:p>
    <w:p w:rsidR="000A6A13" w:rsidRPr="0062371A" w:rsidRDefault="000A6A13" w:rsidP="000A6A13">
      <w:pPr>
        <w:spacing w:after="0" w:line="360" w:lineRule="auto"/>
        <w:contextualSpacing/>
        <w:jc w:val="both"/>
        <w:rPr>
          <w:rStyle w:val="Hyperlink"/>
          <w:b w:val="0"/>
          <w:bCs w:val="0"/>
          <w:color w:val="auto"/>
          <w:sz w:val="22"/>
          <w:szCs w:val="22"/>
        </w:rPr>
      </w:pPr>
      <w:r w:rsidRPr="0062371A">
        <w:rPr>
          <w:rFonts w:ascii="Arial" w:hAnsi="Arial" w:cs="Arial"/>
        </w:rPr>
        <w:t xml:space="preserve">Download dieser Pressemitteilung und weitere Informationen und Bilder unter </w:t>
      </w:r>
      <w:hyperlink r:id="rId10" w:history="1">
        <w:r w:rsidRPr="0062371A">
          <w:rPr>
            <w:rStyle w:val="Hyperlink"/>
            <w:color w:val="009DA2"/>
            <w:sz w:val="22"/>
            <w:szCs w:val="22"/>
          </w:rPr>
          <w:t>https://www.woehrgmbh.de/de/aktuelles-presse/pressecenter</w:t>
        </w:r>
      </w:hyperlink>
    </w:p>
    <w:p w:rsidR="000A6A13" w:rsidRPr="007F5834" w:rsidRDefault="000A6A13" w:rsidP="003B1BDA">
      <w:pPr>
        <w:pStyle w:val="KeinLeerraum"/>
        <w:rPr>
          <w:rFonts w:ascii="Arial" w:hAnsi="Arial" w:cs="Arial"/>
          <w:sz w:val="24"/>
        </w:rPr>
      </w:pPr>
    </w:p>
    <w:p w:rsidR="003C1C57" w:rsidRPr="007F5834" w:rsidRDefault="005F062D" w:rsidP="003B1BD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F5834">
        <w:rPr>
          <w:rFonts w:ascii="Arial" w:hAnsi="Arial" w:cs="Arial"/>
          <w:b/>
        </w:rPr>
        <w:br/>
      </w:r>
      <w:r w:rsidR="002127F1" w:rsidRPr="007F5834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7F5834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7F5834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7F5834" w:rsidRDefault="003C1C57" w:rsidP="003C1C57">
      <w:pPr>
        <w:pStyle w:val="EinfacherAbsatz"/>
        <w:rPr>
          <w:rFonts w:ascii="Arial" w:hAnsi="Arial" w:cs="Arial"/>
          <w:color w:val="auto"/>
          <w:spacing w:val="1"/>
          <w:sz w:val="18"/>
          <w:szCs w:val="16"/>
        </w:rPr>
      </w:pPr>
      <w:r w:rsidRPr="007F5834">
        <w:rPr>
          <w:rFonts w:ascii="Arial" w:hAnsi="Arial" w:cs="Arial"/>
          <w:color w:val="auto"/>
          <w:spacing w:val="1"/>
          <w:sz w:val="18"/>
          <w:szCs w:val="16"/>
        </w:rPr>
        <w:t>Richard Wöhr GmbH, Gräfenau 58-60, D-75339 Höfen / Enz</w:t>
      </w:r>
    </w:p>
    <w:p w:rsidR="00EA748A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7F5834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7F5834">
        <w:rPr>
          <w:rFonts w:ascii="Arial" w:hAnsi="Arial" w:cs="Arial"/>
          <w:spacing w:val="1"/>
          <w:sz w:val="18"/>
          <w:szCs w:val="16"/>
        </w:rPr>
        <w:t xml:space="preserve"> - </w:t>
      </w:r>
      <w:r w:rsidRPr="007F5834">
        <w:rPr>
          <w:rFonts w:ascii="Arial" w:hAnsi="Arial" w:cs="Arial"/>
          <w:spacing w:val="1"/>
          <w:sz w:val="18"/>
          <w:szCs w:val="16"/>
        </w:rPr>
        <w:t>0, Fax (+49) 7081 95 40 - 90,</w:t>
      </w:r>
    </w:p>
    <w:p w:rsidR="00CA5188" w:rsidRPr="007F5834" w:rsidRDefault="00E05E6D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7F5834">
        <w:rPr>
          <w:rFonts w:ascii="Arial" w:hAnsi="Arial" w:cs="Arial"/>
          <w:spacing w:val="1"/>
          <w:sz w:val="18"/>
          <w:szCs w:val="16"/>
        </w:rPr>
        <w:t>E-Mail:</w:t>
      </w:r>
      <w:r w:rsidR="0062371A">
        <w:rPr>
          <w:rFonts w:ascii="Arial" w:hAnsi="Arial" w:cs="Arial"/>
          <w:spacing w:val="1"/>
          <w:sz w:val="18"/>
          <w:szCs w:val="16"/>
        </w:rPr>
        <w:t xml:space="preserve"> J.Thumm@WoehrGmbH.de</w:t>
      </w:r>
      <w:r w:rsidR="0062371A" w:rsidRPr="007F5834">
        <w:rPr>
          <w:rFonts w:ascii="Arial" w:hAnsi="Arial" w:cs="Arial"/>
          <w:spacing w:val="1"/>
          <w:sz w:val="18"/>
          <w:szCs w:val="16"/>
        </w:rPr>
        <w:t xml:space="preserve"> </w:t>
      </w:r>
    </w:p>
    <w:sectPr w:rsidR="00CA5188" w:rsidRPr="007F5834" w:rsidSect="003C1C57">
      <w:headerReference w:type="default" r:id="rId11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F0" w:rsidRDefault="00B905F0" w:rsidP="003C1C57">
      <w:pPr>
        <w:spacing w:after="0" w:line="240" w:lineRule="auto"/>
      </w:pPr>
      <w:r>
        <w:separator/>
      </w:r>
    </w:p>
  </w:endnote>
  <w:endnote w:type="continuationSeparator" w:id="0">
    <w:p w:rsidR="00B905F0" w:rsidRDefault="00B905F0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F0" w:rsidRDefault="00B905F0" w:rsidP="003C1C57">
      <w:pPr>
        <w:spacing w:after="0" w:line="240" w:lineRule="auto"/>
      </w:pPr>
      <w:r>
        <w:separator/>
      </w:r>
    </w:p>
  </w:footnote>
  <w:footnote w:type="continuationSeparator" w:id="0">
    <w:p w:rsidR="00B905F0" w:rsidRDefault="00B905F0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1" w:rsidRDefault="00967A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1BD78482" wp14:editId="360324CE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2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A05"/>
    <w:multiLevelType w:val="multilevel"/>
    <w:tmpl w:val="8AE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3495F"/>
    <w:multiLevelType w:val="hybridMultilevel"/>
    <w:tmpl w:val="8188D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8B9"/>
    <w:multiLevelType w:val="multilevel"/>
    <w:tmpl w:val="7F1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D5D07"/>
    <w:multiLevelType w:val="hybridMultilevel"/>
    <w:tmpl w:val="38D6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CFD"/>
    <w:multiLevelType w:val="hybridMultilevel"/>
    <w:tmpl w:val="CD6EB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07F2"/>
    <w:rsid w:val="00003CA8"/>
    <w:rsid w:val="00004700"/>
    <w:rsid w:val="00016FC9"/>
    <w:rsid w:val="00021529"/>
    <w:rsid w:val="00022405"/>
    <w:rsid w:val="000460C5"/>
    <w:rsid w:val="00055A52"/>
    <w:rsid w:val="00056C24"/>
    <w:rsid w:val="00060215"/>
    <w:rsid w:val="00087E4B"/>
    <w:rsid w:val="000927AC"/>
    <w:rsid w:val="00093A47"/>
    <w:rsid w:val="00096B06"/>
    <w:rsid w:val="000A69E1"/>
    <w:rsid w:val="000A6A13"/>
    <w:rsid w:val="000B1192"/>
    <w:rsid w:val="000B14DF"/>
    <w:rsid w:val="000C31C3"/>
    <w:rsid w:val="000C401B"/>
    <w:rsid w:val="000C5C40"/>
    <w:rsid w:val="000D2643"/>
    <w:rsid w:val="000D506E"/>
    <w:rsid w:val="000E07D5"/>
    <w:rsid w:val="0010178F"/>
    <w:rsid w:val="00106DB4"/>
    <w:rsid w:val="0011464F"/>
    <w:rsid w:val="0012777C"/>
    <w:rsid w:val="00127BA5"/>
    <w:rsid w:val="00141220"/>
    <w:rsid w:val="0014140A"/>
    <w:rsid w:val="00143219"/>
    <w:rsid w:val="001467FD"/>
    <w:rsid w:val="00156733"/>
    <w:rsid w:val="001644D0"/>
    <w:rsid w:val="00166445"/>
    <w:rsid w:val="001677A3"/>
    <w:rsid w:val="001758A0"/>
    <w:rsid w:val="00182759"/>
    <w:rsid w:val="001836AF"/>
    <w:rsid w:val="00184C7E"/>
    <w:rsid w:val="00191AA8"/>
    <w:rsid w:val="00194478"/>
    <w:rsid w:val="001A04A3"/>
    <w:rsid w:val="001D6C4F"/>
    <w:rsid w:val="001E5225"/>
    <w:rsid w:val="001E61FB"/>
    <w:rsid w:val="001F2FCE"/>
    <w:rsid w:val="001F4D8E"/>
    <w:rsid w:val="002073E0"/>
    <w:rsid w:val="0020782E"/>
    <w:rsid w:val="002127F1"/>
    <w:rsid w:val="00222D11"/>
    <w:rsid w:val="002243AB"/>
    <w:rsid w:val="00226898"/>
    <w:rsid w:val="00230030"/>
    <w:rsid w:val="00240CF3"/>
    <w:rsid w:val="00243FE2"/>
    <w:rsid w:val="00254621"/>
    <w:rsid w:val="00267829"/>
    <w:rsid w:val="002A0EF9"/>
    <w:rsid w:val="002C3704"/>
    <w:rsid w:val="002D3800"/>
    <w:rsid w:val="002E7A78"/>
    <w:rsid w:val="002F543D"/>
    <w:rsid w:val="0030328B"/>
    <w:rsid w:val="003102AA"/>
    <w:rsid w:val="0031262C"/>
    <w:rsid w:val="00327CC8"/>
    <w:rsid w:val="003334CB"/>
    <w:rsid w:val="00335AA2"/>
    <w:rsid w:val="003372D5"/>
    <w:rsid w:val="003428F4"/>
    <w:rsid w:val="0034590D"/>
    <w:rsid w:val="003462EC"/>
    <w:rsid w:val="00352133"/>
    <w:rsid w:val="003610B2"/>
    <w:rsid w:val="00365F44"/>
    <w:rsid w:val="003739C0"/>
    <w:rsid w:val="0038777F"/>
    <w:rsid w:val="00394180"/>
    <w:rsid w:val="003961EC"/>
    <w:rsid w:val="003B1BDA"/>
    <w:rsid w:val="003C1AD6"/>
    <w:rsid w:val="003C1C57"/>
    <w:rsid w:val="003D4D16"/>
    <w:rsid w:val="003E17E1"/>
    <w:rsid w:val="003F32B9"/>
    <w:rsid w:val="003F5C46"/>
    <w:rsid w:val="003F6F61"/>
    <w:rsid w:val="00406C6B"/>
    <w:rsid w:val="00413BEC"/>
    <w:rsid w:val="00414387"/>
    <w:rsid w:val="004145B8"/>
    <w:rsid w:val="004149AC"/>
    <w:rsid w:val="004152C5"/>
    <w:rsid w:val="00434979"/>
    <w:rsid w:val="00435162"/>
    <w:rsid w:val="00457899"/>
    <w:rsid w:val="004753D7"/>
    <w:rsid w:val="00492808"/>
    <w:rsid w:val="004942D1"/>
    <w:rsid w:val="004A3162"/>
    <w:rsid w:val="004A4274"/>
    <w:rsid w:val="004A4947"/>
    <w:rsid w:val="004A4E94"/>
    <w:rsid w:val="004B1897"/>
    <w:rsid w:val="004B2F1E"/>
    <w:rsid w:val="004B48E4"/>
    <w:rsid w:val="004D003E"/>
    <w:rsid w:val="004E2AFD"/>
    <w:rsid w:val="004E7BFE"/>
    <w:rsid w:val="004F3CDB"/>
    <w:rsid w:val="004F5E31"/>
    <w:rsid w:val="004F732D"/>
    <w:rsid w:val="00507B6B"/>
    <w:rsid w:val="0051167D"/>
    <w:rsid w:val="005133CD"/>
    <w:rsid w:val="0052029C"/>
    <w:rsid w:val="005226A2"/>
    <w:rsid w:val="00532138"/>
    <w:rsid w:val="00545D72"/>
    <w:rsid w:val="005463EC"/>
    <w:rsid w:val="0054727C"/>
    <w:rsid w:val="005520CA"/>
    <w:rsid w:val="00553689"/>
    <w:rsid w:val="00553DB3"/>
    <w:rsid w:val="00553E77"/>
    <w:rsid w:val="00560426"/>
    <w:rsid w:val="00566160"/>
    <w:rsid w:val="005718E5"/>
    <w:rsid w:val="00577FD9"/>
    <w:rsid w:val="00585E3C"/>
    <w:rsid w:val="00590AC3"/>
    <w:rsid w:val="00592105"/>
    <w:rsid w:val="005A20AD"/>
    <w:rsid w:val="005A3F03"/>
    <w:rsid w:val="005B501A"/>
    <w:rsid w:val="005C1967"/>
    <w:rsid w:val="005C337A"/>
    <w:rsid w:val="005D3FD1"/>
    <w:rsid w:val="005E3421"/>
    <w:rsid w:val="005E3DD6"/>
    <w:rsid w:val="005F062D"/>
    <w:rsid w:val="005F3F94"/>
    <w:rsid w:val="006108FF"/>
    <w:rsid w:val="0062371A"/>
    <w:rsid w:val="006375FB"/>
    <w:rsid w:val="00651847"/>
    <w:rsid w:val="00652A8F"/>
    <w:rsid w:val="006572BD"/>
    <w:rsid w:val="00663F67"/>
    <w:rsid w:val="0066728E"/>
    <w:rsid w:val="00667B6C"/>
    <w:rsid w:val="00670C58"/>
    <w:rsid w:val="00671E28"/>
    <w:rsid w:val="006B6CC2"/>
    <w:rsid w:val="006B70E1"/>
    <w:rsid w:val="006C2E57"/>
    <w:rsid w:val="006C40AE"/>
    <w:rsid w:val="006C7850"/>
    <w:rsid w:val="006E0947"/>
    <w:rsid w:val="006E12DC"/>
    <w:rsid w:val="006E55A4"/>
    <w:rsid w:val="0070179D"/>
    <w:rsid w:val="0070362D"/>
    <w:rsid w:val="00723E2A"/>
    <w:rsid w:val="00724DD8"/>
    <w:rsid w:val="00746628"/>
    <w:rsid w:val="007538ED"/>
    <w:rsid w:val="007625C8"/>
    <w:rsid w:val="007649A4"/>
    <w:rsid w:val="00773096"/>
    <w:rsid w:val="007744E2"/>
    <w:rsid w:val="007831CC"/>
    <w:rsid w:val="007A7E6D"/>
    <w:rsid w:val="007B2E36"/>
    <w:rsid w:val="007C2535"/>
    <w:rsid w:val="007C4EA3"/>
    <w:rsid w:val="007C510E"/>
    <w:rsid w:val="007C7867"/>
    <w:rsid w:val="007D16F5"/>
    <w:rsid w:val="007D2284"/>
    <w:rsid w:val="007D55E5"/>
    <w:rsid w:val="007D6803"/>
    <w:rsid w:val="007E14D2"/>
    <w:rsid w:val="007E7AE5"/>
    <w:rsid w:val="007F5834"/>
    <w:rsid w:val="008001E1"/>
    <w:rsid w:val="008011F1"/>
    <w:rsid w:val="00816C9E"/>
    <w:rsid w:val="0082136F"/>
    <w:rsid w:val="00843274"/>
    <w:rsid w:val="008554E3"/>
    <w:rsid w:val="0088233A"/>
    <w:rsid w:val="00891896"/>
    <w:rsid w:val="008960A1"/>
    <w:rsid w:val="008B1FB7"/>
    <w:rsid w:val="008C5A58"/>
    <w:rsid w:val="008C707D"/>
    <w:rsid w:val="008D59E4"/>
    <w:rsid w:val="008E1DF7"/>
    <w:rsid w:val="008E797C"/>
    <w:rsid w:val="008F063F"/>
    <w:rsid w:val="008F46A2"/>
    <w:rsid w:val="008F4B92"/>
    <w:rsid w:val="00911C03"/>
    <w:rsid w:val="00920C87"/>
    <w:rsid w:val="00921E69"/>
    <w:rsid w:val="009240B8"/>
    <w:rsid w:val="00927297"/>
    <w:rsid w:val="00942E77"/>
    <w:rsid w:val="00951B71"/>
    <w:rsid w:val="00951DBE"/>
    <w:rsid w:val="00962481"/>
    <w:rsid w:val="00967A01"/>
    <w:rsid w:val="0097758E"/>
    <w:rsid w:val="0097767F"/>
    <w:rsid w:val="009A55F6"/>
    <w:rsid w:val="009A691B"/>
    <w:rsid w:val="009B6B4A"/>
    <w:rsid w:val="009B710F"/>
    <w:rsid w:val="009C0F01"/>
    <w:rsid w:val="009C5499"/>
    <w:rsid w:val="009C64CD"/>
    <w:rsid w:val="009D320A"/>
    <w:rsid w:val="009E59F6"/>
    <w:rsid w:val="009F4F47"/>
    <w:rsid w:val="009F7E59"/>
    <w:rsid w:val="00A06376"/>
    <w:rsid w:val="00A077A7"/>
    <w:rsid w:val="00A301CC"/>
    <w:rsid w:val="00A521A4"/>
    <w:rsid w:val="00A874A1"/>
    <w:rsid w:val="00AA4D2F"/>
    <w:rsid w:val="00AD169B"/>
    <w:rsid w:val="00AD6E55"/>
    <w:rsid w:val="00AF0B48"/>
    <w:rsid w:val="00AF2058"/>
    <w:rsid w:val="00AF23A2"/>
    <w:rsid w:val="00AF70D9"/>
    <w:rsid w:val="00AF7D64"/>
    <w:rsid w:val="00B10086"/>
    <w:rsid w:val="00B1104F"/>
    <w:rsid w:val="00B20187"/>
    <w:rsid w:val="00B406E2"/>
    <w:rsid w:val="00B638AD"/>
    <w:rsid w:val="00B74941"/>
    <w:rsid w:val="00B757AB"/>
    <w:rsid w:val="00B844EC"/>
    <w:rsid w:val="00B905F0"/>
    <w:rsid w:val="00B94884"/>
    <w:rsid w:val="00B9658D"/>
    <w:rsid w:val="00BA13D2"/>
    <w:rsid w:val="00BA292E"/>
    <w:rsid w:val="00BC0650"/>
    <w:rsid w:val="00BD11B9"/>
    <w:rsid w:val="00BD243D"/>
    <w:rsid w:val="00BD4DA9"/>
    <w:rsid w:val="00BE002A"/>
    <w:rsid w:val="00BE468D"/>
    <w:rsid w:val="00BE51BD"/>
    <w:rsid w:val="00BE587D"/>
    <w:rsid w:val="00BE6CA9"/>
    <w:rsid w:val="00BF0247"/>
    <w:rsid w:val="00BF57E4"/>
    <w:rsid w:val="00C019D4"/>
    <w:rsid w:val="00C26B85"/>
    <w:rsid w:val="00C33408"/>
    <w:rsid w:val="00C40DCC"/>
    <w:rsid w:val="00C50680"/>
    <w:rsid w:val="00C53077"/>
    <w:rsid w:val="00C546F7"/>
    <w:rsid w:val="00C579C1"/>
    <w:rsid w:val="00C83289"/>
    <w:rsid w:val="00C8665B"/>
    <w:rsid w:val="00C96071"/>
    <w:rsid w:val="00CA0468"/>
    <w:rsid w:val="00CA3F9B"/>
    <w:rsid w:val="00CA5188"/>
    <w:rsid w:val="00CC06B7"/>
    <w:rsid w:val="00CC2766"/>
    <w:rsid w:val="00CD69AB"/>
    <w:rsid w:val="00CE278B"/>
    <w:rsid w:val="00CE2B16"/>
    <w:rsid w:val="00CE2F37"/>
    <w:rsid w:val="00CF6616"/>
    <w:rsid w:val="00D07934"/>
    <w:rsid w:val="00D10BB7"/>
    <w:rsid w:val="00D120C4"/>
    <w:rsid w:val="00D1266D"/>
    <w:rsid w:val="00D17FA8"/>
    <w:rsid w:val="00D2784F"/>
    <w:rsid w:val="00D3314B"/>
    <w:rsid w:val="00D345BA"/>
    <w:rsid w:val="00D412D8"/>
    <w:rsid w:val="00D56AFA"/>
    <w:rsid w:val="00D64020"/>
    <w:rsid w:val="00D70406"/>
    <w:rsid w:val="00D709AC"/>
    <w:rsid w:val="00D75395"/>
    <w:rsid w:val="00D7609A"/>
    <w:rsid w:val="00D824BC"/>
    <w:rsid w:val="00D82632"/>
    <w:rsid w:val="00D8510B"/>
    <w:rsid w:val="00D85D2A"/>
    <w:rsid w:val="00D875FE"/>
    <w:rsid w:val="00D87C75"/>
    <w:rsid w:val="00D96FBC"/>
    <w:rsid w:val="00DB4B0C"/>
    <w:rsid w:val="00DD149F"/>
    <w:rsid w:val="00DD3170"/>
    <w:rsid w:val="00DD4AC1"/>
    <w:rsid w:val="00DE0171"/>
    <w:rsid w:val="00DF2DBD"/>
    <w:rsid w:val="00DF564F"/>
    <w:rsid w:val="00DF7283"/>
    <w:rsid w:val="00DF7856"/>
    <w:rsid w:val="00E03352"/>
    <w:rsid w:val="00E05E6D"/>
    <w:rsid w:val="00E071DD"/>
    <w:rsid w:val="00E075EF"/>
    <w:rsid w:val="00E112C0"/>
    <w:rsid w:val="00E12993"/>
    <w:rsid w:val="00E13B08"/>
    <w:rsid w:val="00E1540D"/>
    <w:rsid w:val="00E20CB4"/>
    <w:rsid w:val="00E23429"/>
    <w:rsid w:val="00E25323"/>
    <w:rsid w:val="00E2718F"/>
    <w:rsid w:val="00E44917"/>
    <w:rsid w:val="00E51B8F"/>
    <w:rsid w:val="00E5621E"/>
    <w:rsid w:val="00E66FCC"/>
    <w:rsid w:val="00E71CEA"/>
    <w:rsid w:val="00E75EF2"/>
    <w:rsid w:val="00E76F9D"/>
    <w:rsid w:val="00E82DFC"/>
    <w:rsid w:val="00E8657C"/>
    <w:rsid w:val="00E92137"/>
    <w:rsid w:val="00E93D35"/>
    <w:rsid w:val="00EA748A"/>
    <w:rsid w:val="00EB0AFD"/>
    <w:rsid w:val="00EC4780"/>
    <w:rsid w:val="00EC714F"/>
    <w:rsid w:val="00ED449F"/>
    <w:rsid w:val="00EF7584"/>
    <w:rsid w:val="00F00CF0"/>
    <w:rsid w:val="00F130CE"/>
    <w:rsid w:val="00F15DBE"/>
    <w:rsid w:val="00F21696"/>
    <w:rsid w:val="00F26768"/>
    <w:rsid w:val="00F36704"/>
    <w:rsid w:val="00F54D9B"/>
    <w:rsid w:val="00F61892"/>
    <w:rsid w:val="00F61B90"/>
    <w:rsid w:val="00F62D7F"/>
    <w:rsid w:val="00F65C79"/>
    <w:rsid w:val="00F75853"/>
    <w:rsid w:val="00F92754"/>
    <w:rsid w:val="00FC4F18"/>
    <w:rsid w:val="00FD0584"/>
    <w:rsid w:val="00FE0E00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8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20C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">
    <w:name w:val="bodytext"/>
    <w:basedOn w:val="Standard"/>
    <w:rsid w:val="00226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KeinLeerraum">
    <w:name w:val="No Spacing"/>
    <w:uiPriority w:val="1"/>
    <w:qFormat/>
    <w:rsid w:val="003B1BDA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8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20C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">
    <w:name w:val="bodytext"/>
    <w:basedOn w:val="Standard"/>
    <w:rsid w:val="00226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oehrgmbh.de/de/aktuelles-presse/presse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3654-2C37-47F1-8416-BB24834D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423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2</cp:revision>
  <cp:lastPrinted>2019-06-24T06:21:00Z</cp:lastPrinted>
  <dcterms:created xsi:type="dcterms:W3CDTF">2019-06-24T06:36:00Z</dcterms:created>
  <dcterms:modified xsi:type="dcterms:W3CDTF">2019-06-24T06:36:00Z</dcterms:modified>
</cp:coreProperties>
</file>