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4E4D15">
        <w:rPr>
          <w:rFonts w:ascii="Arial" w:hAnsi="Arial" w:cs="Arial"/>
          <w:b/>
          <w:spacing w:val="1"/>
          <w:sz w:val="28"/>
          <w:szCs w:val="28"/>
        </w:rPr>
        <w:t>03.08</w:t>
      </w:r>
      <w:r w:rsidR="008F5FE4">
        <w:rPr>
          <w:rFonts w:ascii="Arial" w:hAnsi="Arial" w:cs="Arial"/>
          <w:b/>
          <w:spacing w:val="1"/>
          <w:sz w:val="28"/>
          <w:szCs w:val="28"/>
        </w:rPr>
        <w:t>.2016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D92B7B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>®</w:t>
      </w:r>
      <w:r w:rsidR="00832425">
        <w:rPr>
          <w:rFonts w:ascii="Arial" w:hAnsi="Arial" w:cs="Arial"/>
          <w:sz w:val="28"/>
          <w:szCs w:val="28"/>
        </w:rPr>
        <w:t xml:space="preserve"> erweitert se</w:t>
      </w:r>
      <w:r w:rsidR="00FA19EB">
        <w:rPr>
          <w:rFonts w:ascii="Arial" w:hAnsi="Arial" w:cs="Arial"/>
          <w:sz w:val="28"/>
          <w:szCs w:val="28"/>
        </w:rPr>
        <w:t>ine Serie der Entwässerungsstopf</w:t>
      </w:r>
      <w:r w:rsidR="00832425">
        <w:rPr>
          <w:rFonts w:ascii="Arial" w:hAnsi="Arial" w:cs="Arial"/>
          <w:sz w:val="28"/>
          <w:szCs w:val="28"/>
        </w:rPr>
        <w:t>en</w:t>
      </w:r>
    </w:p>
    <w:p w:rsidR="00ED357C" w:rsidRPr="009101EA" w:rsidRDefault="004D178C" w:rsidP="00D92B7B">
      <w:pPr>
        <w:pStyle w:val="berschrif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Entwässerungsst</w:t>
      </w:r>
      <w:r w:rsidR="00FA19EB">
        <w:rPr>
          <w:rFonts w:ascii="Arial" w:hAnsi="Arial" w:cs="Arial"/>
          <w:sz w:val="22"/>
          <w:szCs w:val="22"/>
        </w:rPr>
        <w:t>opf</w:t>
      </w:r>
      <w:r>
        <w:rPr>
          <w:rFonts w:ascii="Arial" w:hAnsi="Arial" w:cs="Arial"/>
          <w:sz w:val="22"/>
          <w:szCs w:val="22"/>
        </w:rPr>
        <w:t>en M12x1,5 garantiert hohen Wasserdurchfluss</w:t>
      </w:r>
      <w:r w:rsidR="00B92753">
        <w:rPr>
          <w:rFonts w:ascii="Arial" w:hAnsi="Arial" w:cs="Arial"/>
          <w:sz w:val="22"/>
          <w:szCs w:val="22"/>
        </w:rPr>
        <w:t xml:space="preserve"> bei platzsparender Montage</w:t>
      </w:r>
    </w:p>
    <w:p w:rsidR="00832425" w:rsidRDefault="00832425" w:rsidP="00E971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Richard Wöhr GmbH</w:t>
      </w:r>
      <w:r w:rsidR="008411F1">
        <w:rPr>
          <w:rFonts w:ascii="Arial" w:hAnsi="Arial" w:cs="Arial"/>
        </w:rPr>
        <w:t xml:space="preserve"> mit Sitz in Höfen a.</w:t>
      </w:r>
      <w:r w:rsidR="009101EA">
        <w:rPr>
          <w:rFonts w:ascii="Arial" w:hAnsi="Arial" w:cs="Arial"/>
        </w:rPr>
        <w:t xml:space="preserve"> </w:t>
      </w:r>
      <w:r w:rsidR="008411F1">
        <w:rPr>
          <w:rFonts w:ascii="Arial" w:hAnsi="Arial" w:cs="Arial"/>
        </w:rPr>
        <w:t>d.</w:t>
      </w:r>
      <w:r w:rsidR="009101EA">
        <w:rPr>
          <w:rFonts w:ascii="Arial" w:hAnsi="Arial" w:cs="Arial"/>
        </w:rPr>
        <w:t xml:space="preserve"> </w:t>
      </w:r>
      <w:r w:rsidR="008411F1">
        <w:rPr>
          <w:rFonts w:ascii="Arial" w:hAnsi="Arial" w:cs="Arial"/>
        </w:rPr>
        <w:t>Enz</w:t>
      </w:r>
      <w:r w:rsidR="004D178C">
        <w:rPr>
          <w:rFonts w:ascii="Arial" w:hAnsi="Arial" w:cs="Arial"/>
        </w:rPr>
        <w:t xml:space="preserve"> </w:t>
      </w:r>
      <w:r w:rsidR="00E9715F">
        <w:rPr>
          <w:rFonts w:ascii="Arial" w:hAnsi="Arial" w:cs="Arial"/>
        </w:rPr>
        <w:t>ergänzt ihr Zubehörprogramm um</w:t>
      </w:r>
      <w:r w:rsidR="005260C1">
        <w:rPr>
          <w:rFonts w:ascii="Arial" w:hAnsi="Arial" w:cs="Arial"/>
        </w:rPr>
        <w:t xml:space="preserve"> M12 </w:t>
      </w:r>
      <w:r w:rsidR="00C61275">
        <w:rPr>
          <w:rFonts w:ascii="Arial" w:hAnsi="Arial" w:cs="Arial"/>
        </w:rPr>
        <w:t>Entwässerungsstopf</w:t>
      </w:r>
      <w:r>
        <w:rPr>
          <w:rFonts w:ascii="Arial" w:hAnsi="Arial" w:cs="Arial"/>
        </w:rPr>
        <w:t>en</w:t>
      </w:r>
      <w:r w:rsidR="00E971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9715F">
        <w:rPr>
          <w:rFonts w:ascii="Arial" w:hAnsi="Arial" w:cs="Arial"/>
        </w:rPr>
        <w:t xml:space="preserve">Diese </w:t>
      </w:r>
      <w:r>
        <w:rPr>
          <w:rFonts w:ascii="Arial" w:hAnsi="Arial" w:cs="Arial"/>
        </w:rPr>
        <w:t>ermöglichen durch ihre</w:t>
      </w:r>
      <w:r w:rsidR="002D568C">
        <w:rPr>
          <w:rFonts w:ascii="Arial" w:hAnsi="Arial" w:cs="Arial"/>
        </w:rPr>
        <w:t xml:space="preserve"> Schlüsselweite von 17mm, einem Anschlussgewinde von M12x1</w:t>
      </w:r>
      <w:proofErr w:type="gramStart"/>
      <w:r w:rsidR="00DE7715">
        <w:rPr>
          <w:rFonts w:ascii="Arial" w:hAnsi="Arial" w:cs="Arial"/>
        </w:rPr>
        <w:t>,5</w:t>
      </w:r>
      <w:proofErr w:type="gramEnd"/>
      <w:r w:rsidR="002D568C">
        <w:rPr>
          <w:rFonts w:ascii="Arial" w:hAnsi="Arial" w:cs="Arial"/>
        </w:rPr>
        <w:t xml:space="preserve"> und </w:t>
      </w:r>
      <w:r w:rsidR="009101EA">
        <w:rPr>
          <w:rFonts w:ascii="Arial" w:hAnsi="Arial" w:cs="Arial"/>
        </w:rPr>
        <w:t xml:space="preserve">ihrem geringen Volumen </w:t>
      </w:r>
      <w:r>
        <w:rPr>
          <w:rFonts w:ascii="Arial" w:hAnsi="Arial" w:cs="Arial"/>
        </w:rPr>
        <w:t>eine platzsparende Montage und garantieren gleichzeitig ein</w:t>
      </w:r>
      <w:r w:rsidR="00E9715F">
        <w:rPr>
          <w:rFonts w:ascii="Arial" w:hAnsi="Arial" w:cs="Arial"/>
        </w:rPr>
        <w:t>en hohen</w:t>
      </w:r>
      <w:r>
        <w:rPr>
          <w:rFonts w:ascii="Arial" w:hAnsi="Arial" w:cs="Arial"/>
        </w:rPr>
        <w:t xml:space="preserve"> Wasserdurchfluss.</w:t>
      </w:r>
      <w:r w:rsidR="00E9715F">
        <w:rPr>
          <w:rFonts w:ascii="Arial" w:hAnsi="Arial" w:cs="Arial"/>
        </w:rPr>
        <w:t xml:space="preserve"> </w:t>
      </w:r>
    </w:p>
    <w:p w:rsidR="00832425" w:rsidRDefault="00832425" w:rsidP="00573485">
      <w:pPr>
        <w:spacing w:after="0"/>
        <w:jc w:val="both"/>
        <w:rPr>
          <w:rFonts w:ascii="Arial" w:hAnsi="Arial" w:cs="Arial"/>
        </w:rPr>
      </w:pPr>
    </w:p>
    <w:p w:rsidR="009101EA" w:rsidRPr="00DE7715" w:rsidRDefault="00C61275" w:rsidP="005734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reine Entwässerungsstopf</w:t>
      </w:r>
      <w:r w:rsidR="002D568C">
        <w:rPr>
          <w:rFonts w:ascii="Arial" w:hAnsi="Arial" w:cs="Arial"/>
        </w:rPr>
        <w:t>en</w:t>
      </w:r>
      <w:r w:rsidR="00832425">
        <w:rPr>
          <w:rFonts w:ascii="Arial" w:hAnsi="Arial" w:cs="Arial"/>
        </w:rPr>
        <w:t xml:space="preserve"> eigne</w:t>
      </w:r>
      <w:r w:rsidR="002D568C">
        <w:rPr>
          <w:rFonts w:ascii="Arial" w:hAnsi="Arial" w:cs="Arial"/>
        </w:rPr>
        <w:t>t</w:t>
      </w:r>
      <w:r w:rsidR="00832425">
        <w:rPr>
          <w:rFonts w:ascii="Arial" w:hAnsi="Arial" w:cs="Arial"/>
        </w:rPr>
        <w:t xml:space="preserve"> sich besonders für Gehäuse </w:t>
      </w:r>
      <w:r w:rsidR="00832425" w:rsidRPr="00DE7715">
        <w:rPr>
          <w:rFonts w:ascii="Arial" w:hAnsi="Arial" w:cs="Arial"/>
        </w:rPr>
        <w:t>mit geringen Schutzarten</w:t>
      </w:r>
      <w:r w:rsidR="002D568C" w:rsidRPr="00DE7715">
        <w:rPr>
          <w:rFonts w:ascii="Arial" w:hAnsi="Arial" w:cs="Arial"/>
        </w:rPr>
        <w:t xml:space="preserve"> (&lt; IPX5), da hier davon auszugehen </w:t>
      </w:r>
      <w:r w:rsidR="00795963" w:rsidRPr="00DE7715">
        <w:rPr>
          <w:rFonts w:ascii="Arial" w:hAnsi="Arial" w:cs="Arial"/>
        </w:rPr>
        <w:t>ist, dass sich während des</w:t>
      </w:r>
      <w:r w:rsidR="009101EA" w:rsidRPr="00DE7715">
        <w:rPr>
          <w:rFonts w:ascii="Arial" w:hAnsi="Arial" w:cs="Arial"/>
        </w:rPr>
        <w:t xml:space="preserve"> Einsatzes des</w:t>
      </w:r>
      <w:r w:rsidR="00795963" w:rsidRPr="00DE7715">
        <w:rPr>
          <w:rFonts w:ascii="Arial" w:hAnsi="Arial" w:cs="Arial"/>
        </w:rPr>
        <w:t xml:space="preserve"> Gehäuses Kondenswasser oder a</w:t>
      </w:r>
      <w:r w:rsidR="009101EA" w:rsidRPr="00DE7715">
        <w:rPr>
          <w:rFonts w:ascii="Arial" w:hAnsi="Arial" w:cs="Arial"/>
        </w:rPr>
        <w:t>ndere Feuchtigkeit bilden.</w:t>
      </w:r>
    </w:p>
    <w:p w:rsidR="00832425" w:rsidRDefault="00832425" w:rsidP="00573485">
      <w:pPr>
        <w:spacing w:after="0"/>
        <w:jc w:val="both"/>
        <w:rPr>
          <w:rFonts w:ascii="Arial" w:hAnsi="Arial" w:cs="Arial"/>
        </w:rPr>
      </w:pPr>
      <w:r w:rsidRPr="00DE7715">
        <w:rPr>
          <w:rFonts w:ascii="Arial" w:hAnsi="Arial" w:cs="Arial"/>
        </w:rPr>
        <w:t xml:space="preserve">Durch spezielle Vertikalöffnungen am Einschraubgewinde sammelt sich das </w:t>
      </w:r>
      <w:r>
        <w:rPr>
          <w:rFonts w:ascii="Arial" w:hAnsi="Arial" w:cs="Arial"/>
        </w:rPr>
        <w:t>Wasser zentral um die Abtropfv</w:t>
      </w:r>
      <w:r w:rsidR="007E21A5">
        <w:rPr>
          <w:rFonts w:ascii="Arial" w:hAnsi="Arial" w:cs="Arial"/>
        </w:rPr>
        <w:t>orrichtung und fließt</w:t>
      </w:r>
      <w:r w:rsidR="00795963">
        <w:rPr>
          <w:rFonts w:ascii="Arial" w:hAnsi="Arial" w:cs="Arial"/>
        </w:rPr>
        <w:t>,</w:t>
      </w:r>
      <w:r w:rsidR="00B92753">
        <w:rPr>
          <w:rFonts w:ascii="Arial" w:hAnsi="Arial" w:cs="Arial"/>
        </w:rPr>
        <w:t xml:space="preserve"> bei Montage</w:t>
      </w:r>
      <w:r w:rsidR="00C61275">
        <w:rPr>
          <w:rFonts w:ascii="Arial" w:hAnsi="Arial" w:cs="Arial"/>
        </w:rPr>
        <w:t xml:space="preserve"> des Stopfens</w:t>
      </w:r>
      <w:r w:rsidR="00DA2163">
        <w:rPr>
          <w:rFonts w:ascii="Arial" w:hAnsi="Arial" w:cs="Arial"/>
        </w:rPr>
        <w:t xml:space="preserve"> am tiefsten Punkt des Gehäuses</w:t>
      </w:r>
      <w:r w:rsidR="004E4D15">
        <w:rPr>
          <w:rFonts w:ascii="Arial" w:hAnsi="Arial" w:cs="Arial"/>
        </w:rPr>
        <w:t>,</w:t>
      </w:r>
      <w:bookmarkStart w:id="0" w:name="_GoBack"/>
      <w:bookmarkEnd w:id="0"/>
      <w:r w:rsidR="007E21A5">
        <w:rPr>
          <w:rFonts w:ascii="Arial" w:hAnsi="Arial" w:cs="Arial"/>
        </w:rPr>
        <w:t xml:space="preserve"> direkt ab</w:t>
      </w:r>
      <w:r w:rsidR="00DA2163">
        <w:rPr>
          <w:rFonts w:ascii="Arial" w:hAnsi="Arial" w:cs="Arial"/>
        </w:rPr>
        <w:t>.</w:t>
      </w:r>
      <w:r w:rsidR="007E21A5">
        <w:rPr>
          <w:rFonts w:ascii="Arial" w:hAnsi="Arial" w:cs="Arial"/>
        </w:rPr>
        <w:t xml:space="preserve"> D</w:t>
      </w:r>
      <w:r w:rsidR="00C61275">
        <w:rPr>
          <w:rFonts w:ascii="Arial" w:hAnsi="Arial" w:cs="Arial"/>
        </w:rPr>
        <w:t>ie Bauart des Entwässerungsstopf</w:t>
      </w:r>
      <w:r w:rsidR="007E21A5">
        <w:rPr>
          <w:rFonts w:ascii="Arial" w:hAnsi="Arial" w:cs="Arial"/>
        </w:rPr>
        <w:t>ens</w:t>
      </w:r>
      <w:r w:rsidR="00795963">
        <w:rPr>
          <w:rFonts w:ascii="Arial" w:hAnsi="Arial" w:cs="Arial"/>
        </w:rPr>
        <w:t xml:space="preserve"> lässt Flüssigkeiten zu jeder Zeit entweichen</w:t>
      </w:r>
      <w:r w:rsidR="007E21A5">
        <w:rPr>
          <w:rFonts w:ascii="Arial" w:hAnsi="Arial" w:cs="Arial"/>
        </w:rPr>
        <w:t xml:space="preserve"> und verhindert</w:t>
      </w:r>
      <w:r w:rsidR="00795963">
        <w:rPr>
          <w:rFonts w:ascii="Arial" w:hAnsi="Arial" w:cs="Arial"/>
        </w:rPr>
        <w:t xml:space="preserve"> gleichzeitig, dass Feuchtigkeit von außen eindringt. </w:t>
      </w:r>
      <w:r w:rsidR="00C61275">
        <w:rPr>
          <w:rFonts w:ascii="Arial" w:hAnsi="Arial" w:cs="Arial"/>
        </w:rPr>
        <w:t>Die Stopf</w:t>
      </w:r>
      <w:r w:rsidR="00DE7715">
        <w:rPr>
          <w:rFonts w:ascii="Arial" w:hAnsi="Arial" w:cs="Arial"/>
        </w:rPr>
        <w:t>en sind in drei verschiedenen Farben erhältlich: RAL 7035, RAL 7001 und RAL 9005.</w:t>
      </w:r>
    </w:p>
    <w:p w:rsidR="00EB5698" w:rsidRPr="005D3ED5" w:rsidRDefault="0073734C" w:rsidP="005001F3">
      <w:pPr>
        <w:spacing w:after="0"/>
        <w:jc w:val="both"/>
        <w:rPr>
          <w:rFonts w:ascii="Arial" w:hAnsi="Arial" w:cs="Arial"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p w:rsidR="00EB569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9"/>
        <w:gridCol w:w="4089"/>
      </w:tblGrid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Anschlussgewinde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M12x1,5</w:t>
            </w:r>
          </w:p>
        </w:tc>
      </w:tr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Schlüsselweite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17mm (Sondergegenmutter 18mm)</w:t>
            </w:r>
          </w:p>
        </w:tc>
      </w:tr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Schutzart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IP66</w:t>
            </w:r>
          </w:p>
        </w:tc>
      </w:tr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EPDM</w:t>
            </w:r>
          </w:p>
        </w:tc>
      </w:tr>
      <w:tr w:rsidR="00DA2163" w:rsidTr="00DA2163">
        <w:tc>
          <w:tcPr>
            <w:tcW w:w="4089" w:type="dxa"/>
          </w:tcPr>
          <w:p w:rsidR="00DA2163" w:rsidRDefault="00C61275" w:rsidP="00C6127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Stopfen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6 (V2)</w:t>
            </w:r>
          </w:p>
        </w:tc>
      </w:tr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Temperaturbereich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  <w:r w:rsidRPr="00DA2163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C bis +100</w:t>
            </w:r>
            <w:r w:rsidRPr="00DA2163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</w:tr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Anzugsdrehmoment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</w:t>
            </w:r>
            <w:proofErr w:type="spellStart"/>
            <w:r>
              <w:rPr>
                <w:rFonts w:ascii="Arial" w:hAnsi="Arial" w:cs="Arial"/>
              </w:rPr>
              <w:t>Nm</w:t>
            </w:r>
            <w:proofErr w:type="spellEnd"/>
          </w:p>
        </w:tc>
      </w:tr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Farben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 7001, RAL 7035, RAL 9005</w:t>
            </w:r>
          </w:p>
        </w:tc>
      </w:tr>
      <w:tr w:rsidR="00DA2163" w:rsidTr="00DA2163"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Wasserdurchfluss</w:t>
            </w:r>
          </w:p>
        </w:tc>
        <w:tc>
          <w:tcPr>
            <w:tcW w:w="4089" w:type="dxa"/>
          </w:tcPr>
          <w:p w:rsidR="00DA2163" w:rsidRDefault="00DA2163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A2163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5 ml / min = 1.8 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 / h bei </w:t>
            </w:r>
            <w:r w:rsidRPr="00DA2163">
              <w:rPr>
                <w:rFonts w:ascii="Arial" w:hAnsi="Arial" w:cs="Arial"/>
              </w:rPr>
              <w:t xml:space="preserve">▲p = 1 </w:t>
            </w:r>
            <w:proofErr w:type="spellStart"/>
            <w:r w:rsidRPr="00DA2163">
              <w:rPr>
                <w:rFonts w:ascii="Arial" w:hAnsi="Arial" w:cs="Arial"/>
              </w:rPr>
              <w:t>mb</w:t>
            </w:r>
            <w:proofErr w:type="spellEnd"/>
          </w:p>
        </w:tc>
      </w:tr>
      <w:tr w:rsidR="00DA2163" w:rsidTr="00DA2163">
        <w:tc>
          <w:tcPr>
            <w:tcW w:w="4089" w:type="dxa"/>
          </w:tcPr>
          <w:p w:rsidR="00DA2163" w:rsidRDefault="007E21A5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Lieferumfang enthalten</w:t>
            </w:r>
          </w:p>
        </w:tc>
        <w:tc>
          <w:tcPr>
            <w:tcW w:w="4089" w:type="dxa"/>
          </w:tcPr>
          <w:p w:rsidR="00DA2163" w:rsidRDefault="002F0AE8" w:rsidP="00DA216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Gegenmutter</w:t>
            </w:r>
          </w:p>
        </w:tc>
      </w:tr>
    </w:tbl>
    <w:p w:rsidR="00AE1A80" w:rsidRDefault="00AE1A80" w:rsidP="00EB56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1D1327" w:rsidRPr="00DE7715" w:rsidRDefault="001D1327" w:rsidP="001D1327">
      <w:pPr>
        <w:spacing w:after="0"/>
        <w:jc w:val="both"/>
        <w:rPr>
          <w:rFonts w:ascii="Arial" w:hAnsi="Arial" w:cs="Arial"/>
        </w:rPr>
      </w:pPr>
      <w:r w:rsidRPr="001D1327">
        <w:rPr>
          <w:rFonts w:ascii="Arial" w:hAnsi="Arial" w:cs="Arial"/>
        </w:rPr>
        <w:lastRenderedPageBreak/>
        <w:t>Weitere Informatio</w:t>
      </w:r>
      <w:r>
        <w:rPr>
          <w:rFonts w:ascii="Arial" w:hAnsi="Arial" w:cs="Arial"/>
        </w:rPr>
        <w:t>nen unter</w:t>
      </w:r>
      <w:r w:rsidR="00DE7715">
        <w:rPr>
          <w:rFonts w:ascii="Arial" w:hAnsi="Arial" w:cs="Arial"/>
        </w:rPr>
        <w:t xml:space="preserve"> Zubehör – En</w:t>
      </w:r>
      <w:r w:rsidR="00C61275">
        <w:rPr>
          <w:rFonts w:ascii="Arial" w:hAnsi="Arial" w:cs="Arial"/>
        </w:rPr>
        <w:t>twässerungs- und Entlüftungsstopf</w:t>
      </w:r>
      <w:r w:rsidR="00DE7715">
        <w:rPr>
          <w:rFonts w:ascii="Arial" w:hAnsi="Arial" w:cs="Arial"/>
        </w:rPr>
        <w:t xml:space="preserve">en auf </w:t>
      </w:r>
      <w:hyperlink r:id="rId9" w:history="1">
        <w:r w:rsidR="00DE7715" w:rsidRPr="00DE7715">
          <w:rPr>
            <w:rStyle w:val="Hyperlink"/>
            <w:b w:val="0"/>
            <w:color w:val="009DA2"/>
            <w:sz w:val="22"/>
            <w:szCs w:val="22"/>
          </w:rPr>
          <w:t>www.industriegehaeuse.de</w:t>
        </w:r>
      </w:hyperlink>
      <w:r w:rsidR="00DE7715">
        <w:rPr>
          <w:rFonts w:ascii="Arial" w:hAnsi="Arial" w:cs="Arial"/>
          <w:bCs/>
          <w:color w:val="009DA2"/>
        </w:rPr>
        <w:t xml:space="preserve"> </w:t>
      </w: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8D45D8" w:rsidRDefault="00193AFE" w:rsidP="008D45D8">
      <w:pPr>
        <w:spacing w:after="0"/>
        <w:jc w:val="both"/>
        <w:rPr>
          <w:rFonts w:ascii="Arial" w:hAnsi="Arial" w:cs="Arial"/>
        </w:rPr>
      </w:pPr>
    </w:p>
    <w:p w:rsidR="001910B5" w:rsidRPr="00FD2BCA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="00552848" w:rsidRPr="00DE7715">
          <w:rPr>
            <w:rStyle w:val="Hyperlink"/>
            <w:b w:val="0"/>
            <w:color w:val="009DA2"/>
            <w:sz w:val="22"/>
            <w:szCs w:val="22"/>
          </w:rPr>
          <w:t>http://</w:t>
        </w:r>
      </w:hyperlink>
      <w:r w:rsidR="00DA2163" w:rsidRPr="00DE7715">
        <w:rPr>
          <w:rStyle w:val="Hyperlink"/>
          <w:b w:val="0"/>
          <w:color w:val="009DA2"/>
          <w:sz w:val="22"/>
          <w:szCs w:val="22"/>
        </w:rPr>
        <w:t>www.</w:t>
      </w:r>
      <w:r w:rsidR="0039590A" w:rsidRPr="00DE7715">
        <w:rPr>
          <w:rStyle w:val="Hyperlink"/>
          <w:b w:val="0"/>
          <w:color w:val="009DA2"/>
          <w:sz w:val="22"/>
          <w:szCs w:val="22"/>
        </w:rPr>
        <w:t>woehrgmbh.de/de/aktuelles-presse/pressecenter/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Pr="00DE7715" w:rsidRDefault="003C1C57" w:rsidP="003C1C57">
      <w:pPr>
        <w:spacing w:after="0"/>
        <w:rPr>
          <w:rFonts w:ascii="Arial" w:hAnsi="Arial" w:cs="Arial"/>
          <w:b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="003078BA" w:rsidRPr="00DE7715">
          <w:rPr>
            <w:rStyle w:val="Hyperlink"/>
            <w:b w:val="0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4" w:rsidRDefault="00F148A4" w:rsidP="003C1C57">
      <w:pPr>
        <w:spacing w:after="0" w:line="240" w:lineRule="auto"/>
      </w:pPr>
      <w:r>
        <w:separator/>
      </w:r>
    </w:p>
  </w:endnote>
  <w:end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4" w:rsidRDefault="00F148A4" w:rsidP="003C1C57">
      <w:pPr>
        <w:spacing w:after="0" w:line="240" w:lineRule="auto"/>
      </w:pPr>
      <w:r>
        <w:separator/>
      </w:r>
    </w:p>
  </w:footnote>
  <w:foot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3F7"/>
    <w:rsid w:val="000C5C40"/>
    <w:rsid w:val="000D2643"/>
    <w:rsid w:val="000D5567"/>
    <w:rsid w:val="000E6D3D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0040"/>
    <w:rsid w:val="001910B5"/>
    <w:rsid w:val="00191AA8"/>
    <w:rsid w:val="00193AFE"/>
    <w:rsid w:val="001D1327"/>
    <w:rsid w:val="001E2027"/>
    <w:rsid w:val="001E5225"/>
    <w:rsid w:val="001F24BD"/>
    <w:rsid w:val="001F4D8E"/>
    <w:rsid w:val="00205956"/>
    <w:rsid w:val="002073E0"/>
    <w:rsid w:val="002127F1"/>
    <w:rsid w:val="00215694"/>
    <w:rsid w:val="00222D11"/>
    <w:rsid w:val="00267829"/>
    <w:rsid w:val="002937E9"/>
    <w:rsid w:val="00293CF1"/>
    <w:rsid w:val="002A0EF9"/>
    <w:rsid w:val="002A36BB"/>
    <w:rsid w:val="002D3800"/>
    <w:rsid w:val="002D568C"/>
    <w:rsid w:val="002E7A78"/>
    <w:rsid w:val="002F0AE8"/>
    <w:rsid w:val="002F543D"/>
    <w:rsid w:val="0030328B"/>
    <w:rsid w:val="003078BA"/>
    <w:rsid w:val="0032151B"/>
    <w:rsid w:val="00323B5E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590A"/>
    <w:rsid w:val="003961EC"/>
    <w:rsid w:val="003A0A2B"/>
    <w:rsid w:val="003A4F1C"/>
    <w:rsid w:val="003C1AD6"/>
    <w:rsid w:val="003C1C57"/>
    <w:rsid w:val="003C51DC"/>
    <w:rsid w:val="003E17E1"/>
    <w:rsid w:val="003F32B9"/>
    <w:rsid w:val="003F6F61"/>
    <w:rsid w:val="00414387"/>
    <w:rsid w:val="004145B8"/>
    <w:rsid w:val="004149AC"/>
    <w:rsid w:val="004152C5"/>
    <w:rsid w:val="00424EB6"/>
    <w:rsid w:val="00426728"/>
    <w:rsid w:val="00434979"/>
    <w:rsid w:val="00435162"/>
    <w:rsid w:val="00453F96"/>
    <w:rsid w:val="0049500A"/>
    <w:rsid w:val="004A2DE5"/>
    <w:rsid w:val="004A3162"/>
    <w:rsid w:val="004A4274"/>
    <w:rsid w:val="004A4947"/>
    <w:rsid w:val="004B6A26"/>
    <w:rsid w:val="004D003E"/>
    <w:rsid w:val="004D178C"/>
    <w:rsid w:val="004E2AFD"/>
    <w:rsid w:val="004E4D15"/>
    <w:rsid w:val="004E7BFE"/>
    <w:rsid w:val="004F2443"/>
    <w:rsid w:val="005001F3"/>
    <w:rsid w:val="00507B6B"/>
    <w:rsid w:val="005133CD"/>
    <w:rsid w:val="00517280"/>
    <w:rsid w:val="005260C1"/>
    <w:rsid w:val="005520CA"/>
    <w:rsid w:val="00552848"/>
    <w:rsid w:val="00553689"/>
    <w:rsid w:val="00560426"/>
    <w:rsid w:val="00566160"/>
    <w:rsid w:val="0057153A"/>
    <w:rsid w:val="005718E5"/>
    <w:rsid w:val="00573485"/>
    <w:rsid w:val="00585E3C"/>
    <w:rsid w:val="00592105"/>
    <w:rsid w:val="005A20AD"/>
    <w:rsid w:val="005B501A"/>
    <w:rsid w:val="005C337A"/>
    <w:rsid w:val="005D3ED5"/>
    <w:rsid w:val="005D3FD1"/>
    <w:rsid w:val="005E28F3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73DCA"/>
    <w:rsid w:val="0067472F"/>
    <w:rsid w:val="006C2E57"/>
    <w:rsid w:val="006E55A4"/>
    <w:rsid w:val="00723E2A"/>
    <w:rsid w:val="00724DD8"/>
    <w:rsid w:val="00730F8A"/>
    <w:rsid w:val="0073734C"/>
    <w:rsid w:val="00746628"/>
    <w:rsid w:val="007538ED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95963"/>
    <w:rsid w:val="007B2E36"/>
    <w:rsid w:val="007C4EA3"/>
    <w:rsid w:val="007C7867"/>
    <w:rsid w:val="007D16F5"/>
    <w:rsid w:val="007D2284"/>
    <w:rsid w:val="007D55E5"/>
    <w:rsid w:val="007D6803"/>
    <w:rsid w:val="007E21A5"/>
    <w:rsid w:val="007E7AE5"/>
    <w:rsid w:val="0082136F"/>
    <w:rsid w:val="00832425"/>
    <w:rsid w:val="008411F1"/>
    <w:rsid w:val="00852E90"/>
    <w:rsid w:val="008554E3"/>
    <w:rsid w:val="008728D7"/>
    <w:rsid w:val="0088233A"/>
    <w:rsid w:val="008960A1"/>
    <w:rsid w:val="008A3CAB"/>
    <w:rsid w:val="008B1FB7"/>
    <w:rsid w:val="008B669E"/>
    <w:rsid w:val="008C18C6"/>
    <w:rsid w:val="008C5A58"/>
    <w:rsid w:val="008C707D"/>
    <w:rsid w:val="008D45D8"/>
    <w:rsid w:val="008D59E4"/>
    <w:rsid w:val="008E016E"/>
    <w:rsid w:val="008F063F"/>
    <w:rsid w:val="008F46A2"/>
    <w:rsid w:val="008F4B92"/>
    <w:rsid w:val="008F5FE4"/>
    <w:rsid w:val="009101EA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091B"/>
    <w:rsid w:val="00A06376"/>
    <w:rsid w:val="00A521A4"/>
    <w:rsid w:val="00A815ED"/>
    <w:rsid w:val="00A874A1"/>
    <w:rsid w:val="00A95460"/>
    <w:rsid w:val="00AD169B"/>
    <w:rsid w:val="00AE1A80"/>
    <w:rsid w:val="00AF2058"/>
    <w:rsid w:val="00AF70D9"/>
    <w:rsid w:val="00AF7D64"/>
    <w:rsid w:val="00B10086"/>
    <w:rsid w:val="00B1104F"/>
    <w:rsid w:val="00B17EF2"/>
    <w:rsid w:val="00B367A1"/>
    <w:rsid w:val="00B406E2"/>
    <w:rsid w:val="00B6309D"/>
    <w:rsid w:val="00B638AD"/>
    <w:rsid w:val="00B74941"/>
    <w:rsid w:val="00B757AB"/>
    <w:rsid w:val="00B92753"/>
    <w:rsid w:val="00B956F7"/>
    <w:rsid w:val="00B9658D"/>
    <w:rsid w:val="00BA13D2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3408"/>
    <w:rsid w:val="00C546F7"/>
    <w:rsid w:val="00C579C1"/>
    <w:rsid w:val="00C61275"/>
    <w:rsid w:val="00C61854"/>
    <w:rsid w:val="00C83289"/>
    <w:rsid w:val="00CA5188"/>
    <w:rsid w:val="00CC2766"/>
    <w:rsid w:val="00CD0215"/>
    <w:rsid w:val="00CE278B"/>
    <w:rsid w:val="00CE2F37"/>
    <w:rsid w:val="00CF2680"/>
    <w:rsid w:val="00CF3A61"/>
    <w:rsid w:val="00CF6616"/>
    <w:rsid w:val="00D03F80"/>
    <w:rsid w:val="00D07934"/>
    <w:rsid w:val="00D10BB7"/>
    <w:rsid w:val="00D120C4"/>
    <w:rsid w:val="00D3314B"/>
    <w:rsid w:val="00D60402"/>
    <w:rsid w:val="00D60845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A2163"/>
    <w:rsid w:val="00DB22C8"/>
    <w:rsid w:val="00DB4B0C"/>
    <w:rsid w:val="00DD3170"/>
    <w:rsid w:val="00DE0171"/>
    <w:rsid w:val="00DE7715"/>
    <w:rsid w:val="00DF564F"/>
    <w:rsid w:val="00E05E6D"/>
    <w:rsid w:val="00E0649E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F9D"/>
    <w:rsid w:val="00E82DFC"/>
    <w:rsid w:val="00E84F4A"/>
    <w:rsid w:val="00E8657C"/>
    <w:rsid w:val="00E93D35"/>
    <w:rsid w:val="00E9715F"/>
    <w:rsid w:val="00EB5698"/>
    <w:rsid w:val="00ED357C"/>
    <w:rsid w:val="00ED449F"/>
    <w:rsid w:val="00EE5875"/>
    <w:rsid w:val="00F148A4"/>
    <w:rsid w:val="00F15DBE"/>
    <w:rsid w:val="00F21696"/>
    <w:rsid w:val="00F26768"/>
    <w:rsid w:val="00F36704"/>
    <w:rsid w:val="00F519CD"/>
    <w:rsid w:val="00F57743"/>
    <w:rsid w:val="00F61B90"/>
    <w:rsid w:val="00F62D7F"/>
    <w:rsid w:val="00F65C79"/>
    <w:rsid w:val="00F75853"/>
    <w:rsid w:val="00F85C1D"/>
    <w:rsid w:val="00FA19EB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CDC4-879A-4697-AC96-04D6E896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13</cp:revision>
  <cp:lastPrinted>2016-07-12T08:40:00Z</cp:lastPrinted>
  <dcterms:created xsi:type="dcterms:W3CDTF">2016-07-19T06:42:00Z</dcterms:created>
  <dcterms:modified xsi:type="dcterms:W3CDTF">2016-08-02T05:47:00Z</dcterms:modified>
</cp:coreProperties>
</file>