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DFAF" w14:textId="77777777"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14:paraId="0E801AB0" w14:textId="3257F152"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1B1A32">
        <w:rPr>
          <w:rFonts w:ascii="Arial" w:hAnsi="Arial" w:cs="Arial"/>
          <w:b/>
          <w:spacing w:val="1"/>
          <w:sz w:val="28"/>
          <w:szCs w:val="28"/>
        </w:rPr>
        <w:t>13</w:t>
      </w:r>
      <w:r w:rsidR="00F54DD8">
        <w:rPr>
          <w:rFonts w:ascii="Arial" w:hAnsi="Arial" w:cs="Arial"/>
          <w:b/>
          <w:spacing w:val="1"/>
          <w:sz w:val="28"/>
          <w:szCs w:val="28"/>
        </w:rPr>
        <w:t>.</w:t>
      </w:r>
      <w:r w:rsidR="001B1A32">
        <w:rPr>
          <w:rFonts w:ascii="Arial" w:hAnsi="Arial" w:cs="Arial"/>
          <w:b/>
          <w:spacing w:val="1"/>
          <w:sz w:val="28"/>
          <w:szCs w:val="28"/>
        </w:rPr>
        <w:t>05</w:t>
      </w:r>
      <w:r w:rsidR="00F54DD8">
        <w:rPr>
          <w:rFonts w:ascii="Arial" w:hAnsi="Arial" w:cs="Arial"/>
          <w:b/>
          <w:spacing w:val="1"/>
          <w:sz w:val="28"/>
          <w:szCs w:val="28"/>
        </w:rPr>
        <w:t>.2019</w:t>
      </w:r>
    </w:p>
    <w:p w14:paraId="638C8ACE" w14:textId="77777777" w:rsidR="007625C8" w:rsidRPr="0019618A" w:rsidRDefault="007625C8" w:rsidP="007625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1B5FBDF" w14:textId="77777777" w:rsidR="007625C8" w:rsidRPr="0019618A" w:rsidRDefault="007625C8" w:rsidP="007625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D8C573A" w14:textId="77777777" w:rsidR="007625C8" w:rsidRPr="0019618A" w:rsidRDefault="007625C8" w:rsidP="003B1BDA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</w:rPr>
      </w:pPr>
    </w:p>
    <w:p w14:paraId="6BFB3544" w14:textId="77777777" w:rsidR="00283B3F" w:rsidRDefault="00673554" w:rsidP="003B1BDA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WÖHR</w:t>
      </w:r>
      <w:r w:rsidR="00810C77">
        <w:rPr>
          <w:rFonts w:ascii="Arial" w:hAnsi="Arial" w:cs="Arial"/>
          <w:sz w:val="28"/>
          <w:szCs w:val="28"/>
        </w:rPr>
        <w:t>®</w:t>
      </w:r>
      <w:r>
        <w:rPr>
          <w:rFonts w:ascii="Arial" w:hAnsi="Arial" w:cs="Arial"/>
          <w:b/>
          <w:sz w:val="28"/>
        </w:rPr>
        <w:t xml:space="preserve"> erweitert Kunststoffgehäuse-Serie KS002</w:t>
      </w:r>
    </w:p>
    <w:p w14:paraId="1F3772CF" w14:textId="77777777" w:rsidR="0076492D" w:rsidRDefault="0076492D" w:rsidP="003B1BDA">
      <w:pPr>
        <w:pStyle w:val="KeinLeerraum"/>
        <w:rPr>
          <w:rFonts w:ascii="Arial" w:hAnsi="Arial" w:cs="Arial"/>
          <w:b/>
          <w:sz w:val="28"/>
        </w:rPr>
      </w:pPr>
    </w:p>
    <w:p w14:paraId="2D3C217A" w14:textId="3C6040EE" w:rsidR="00283B3F" w:rsidRPr="00F5528E" w:rsidRDefault="00F5528E" w:rsidP="003B1BDA">
      <w:pPr>
        <w:pStyle w:val="KeinLeerraum"/>
        <w:rPr>
          <w:rFonts w:ascii="Arial" w:hAnsi="Arial" w:cs="Arial"/>
          <w:b/>
        </w:rPr>
      </w:pPr>
      <w:r w:rsidRPr="00F5528E">
        <w:rPr>
          <w:rFonts w:ascii="Arial" w:hAnsi="Arial" w:cs="Arial"/>
          <w:b/>
        </w:rPr>
        <w:t xml:space="preserve">Mehr Schutz </w:t>
      </w:r>
      <w:r w:rsidR="006145D9">
        <w:rPr>
          <w:rFonts w:ascii="Arial" w:hAnsi="Arial" w:cs="Arial"/>
          <w:b/>
        </w:rPr>
        <w:t xml:space="preserve">durch </w:t>
      </w:r>
      <w:r w:rsidRPr="00F5528E">
        <w:rPr>
          <w:rFonts w:ascii="Arial" w:hAnsi="Arial" w:cs="Arial"/>
          <w:b/>
        </w:rPr>
        <w:t>Schutzart IP67</w:t>
      </w:r>
      <w:r w:rsidR="00331CA5">
        <w:rPr>
          <w:rFonts w:ascii="Arial" w:hAnsi="Arial" w:cs="Arial"/>
          <w:b/>
        </w:rPr>
        <w:t xml:space="preserve"> </w:t>
      </w:r>
    </w:p>
    <w:p w14:paraId="76DD1A96" w14:textId="77777777" w:rsidR="003B1BDA" w:rsidRDefault="003B1BDA" w:rsidP="003B1BDA">
      <w:pPr>
        <w:pStyle w:val="KeinLeerraum"/>
        <w:rPr>
          <w:rFonts w:ascii="Arial" w:hAnsi="Arial" w:cs="Arial"/>
          <w:b/>
          <w:sz w:val="24"/>
        </w:rPr>
      </w:pPr>
    </w:p>
    <w:p w14:paraId="1B51E175" w14:textId="03484CCE" w:rsidR="00F5528E" w:rsidRPr="00313017" w:rsidRDefault="00673554" w:rsidP="00B84C37">
      <w:pPr>
        <w:pStyle w:val="KeinLeerraum"/>
        <w:jc w:val="both"/>
        <w:rPr>
          <w:rFonts w:ascii="Arial" w:hAnsi="Arial" w:cs="Arial"/>
        </w:rPr>
      </w:pPr>
      <w:r w:rsidRPr="00313017">
        <w:rPr>
          <w:rFonts w:ascii="Arial" w:hAnsi="Arial" w:cs="Arial"/>
        </w:rPr>
        <w:t>Die Richard Wöhr GmbH mit Sitz in Höfen erweitert ihr</w:t>
      </w:r>
      <w:r w:rsidR="00A51648" w:rsidRPr="00313017">
        <w:rPr>
          <w:rFonts w:ascii="Arial" w:hAnsi="Arial" w:cs="Arial"/>
        </w:rPr>
        <w:t xml:space="preserve"> Gehäuseprogramm </w:t>
      </w:r>
      <w:r w:rsidR="00F5528E" w:rsidRPr="00313017">
        <w:rPr>
          <w:rFonts w:ascii="Arial" w:hAnsi="Arial" w:cs="Arial"/>
        </w:rPr>
        <w:t>d</w:t>
      </w:r>
      <w:r w:rsidRPr="00313017">
        <w:rPr>
          <w:rFonts w:ascii="Arial" w:hAnsi="Arial" w:cs="Arial"/>
        </w:rPr>
        <w:t>e</w:t>
      </w:r>
      <w:r w:rsidR="00F5528E" w:rsidRPr="00313017">
        <w:rPr>
          <w:rFonts w:ascii="Arial" w:hAnsi="Arial" w:cs="Arial"/>
        </w:rPr>
        <w:t>r</w:t>
      </w:r>
      <w:r w:rsidRPr="00313017">
        <w:rPr>
          <w:rFonts w:ascii="Arial" w:hAnsi="Arial" w:cs="Arial"/>
        </w:rPr>
        <w:t xml:space="preserve"> Kunststoffgehäuse-Serie GH02KS002</w:t>
      </w:r>
      <w:r w:rsidR="00DB17CE">
        <w:rPr>
          <w:rFonts w:ascii="Arial" w:hAnsi="Arial" w:cs="Arial"/>
        </w:rPr>
        <w:t>. A</w:t>
      </w:r>
      <w:r w:rsidR="00F5528E" w:rsidRPr="00313017">
        <w:rPr>
          <w:rFonts w:ascii="Arial" w:hAnsi="Arial" w:cs="Arial"/>
        </w:rPr>
        <w:t xml:space="preserve">b sofort </w:t>
      </w:r>
      <w:r w:rsidR="00FD1704">
        <w:rPr>
          <w:rFonts w:ascii="Arial" w:hAnsi="Arial" w:cs="Arial"/>
        </w:rPr>
        <w:t xml:space="preserve">sind </w:t>
      </w:r>
      <w:r w:rsidR="004345F1">
        <w:rPr>
          <w:rFonts w:ascii="Arial" w:hAnsi="Arial" w:cs="Arial"/>
        </w:rPr>
        <w:t xml:space="preserve">ausgewählte Modelle </w:t>
      </w:r>
      <w:r w:rsidR="00F5528E" w:rsidRPr="00313017">
        <w:rPr>
          <w:rFonts w:ascii="Arial" w:hAnsi="Arial" w:cs="Arial"/>
        </w:rPr>
        <w:t>sta</w:t>
      </w:r>
      <w:r w:rsidR="00F5528E" w:rsidRPr="00313017">
        <w:rPr>
          <w:rFonts w:ascii="Arial" w:hAnsi="Arial" w:cs="Arial"/>
        </w:rPr>
        <w:t>n</w:t>
      </w:r>
      <w:r w:rsidR="00F5528E" w:rsidRPr="00313017">
        <w:rPr>
          <w:rFonts w:ascii="Arial" w:hAnsi="Arial" w:cs="Arial"/>
        </w:rPr>
        <w:t xml:space="preserve">dardmäßig </w:t>
      </w:r>
      <w:r w:rsidR="00331CA5" w:rsidRPr="00313017">
        <w:rPr>
          <w:rFonts w:ascii="Arial" w:hAnsi="Arial" w:cs="Arial"/>
        </w:rPr>
        <w:t xml:space="preserve">auch </w:t>
      </w:r>
      <w:r w:rsidR="00F5528E" w:rsidRPr="00313017">
        <w:rPr>
          <w:rFonts w:ascii="Arial" w:hAnsi="Arial" w:cs="Arial"/>
        </w:rPr>
        <w:t>in der Schutzart IP67 verfügbar.</w:t>
      </w:r>
    </w:p>
    <w:p w14:paraId="2F430DD0" w14:textId="69F0136F" w:rsidR="007A08A0" w:rsidRDefault="00F5528E" w:rsidP="00B84C37">
      <w:pPr>
        <w:pStyle w:val="KeinLeerraum"/>
        <w:jc w:val="both"/>
        <w:rPr>
          <w:rFonts w:ascii="Arial" w:hAnsi="Arial" w:cs="Arial"/>
        </w:rPr>
      </w:pPr>
      <w:r w:rsidRPr="00313017">
        <w:rPr>
          <w:rFonts w:ascii="Arial" w:hAnsi="Arial" w:cs="Arial"/>
        </w:rPr>
        <w:t xml:space="preserve"> </w:t>
      </w:r>
      <w:r w:rsidR="00221C0C" w:rsidRPr="00313017">
        <w:rPr>
          <w:rFonts w:ascii="Arial" w:hAnsi="Arial" w:cs="Arial"/>
        </w:rPr>
        <w:br/>
      </w:r>
      <w:r w:rsidR="00FD1704">
        <w:rPr>
          <w:rFonts w:ascii="Arial" w:hAnsi="Arial" w:cs="Arial"/>
        </w:rPr>
        <w:t>Die zuverlässigen Kunststoffgehäuse gibt es in unterschiedlichen Abmessungen von 52</w:t>
      </w:r>
      <w:r w:rsidR="00406CA4">
        <w:rPr>
          <w:rFonts w:ascii="Arial" w:hAnsi="Arial" w:cs="Arial"/>
        </w:rPr>
        <w:t xml:space="preserve"> </w:t>
      </w:r>
      <w:r w:rsidR="00FD1704">
        <w:rPr>
          <w:rFonts w:ascii="Arial" w:hAnsi="Arial" w:cs="Arial"/>
        </w:rPr>
        <w:t>x</w:t>
      </w:r>
      <w:r w:rsidR="00406CA4">
        <w:rPr>
          <w:rFonts w:ascii="Arial" w:hAnsi="Arial" w:cs="Arial"/>
        </w:rPr>
        <w:t xml:space="preserve"> 50 </w:t>
      </w:r>
      <w:r w:rsidR="00FD1704">
        <w:rPr>
          <w:rFonts w:ascii="Arial" w:hAnsi="Arial" w:cs="Arial"/>
        </w:rPr>
        <w:t>x</w:t>
      </w:r>
      <w:r w:rsidR="00406CA4">
        <w:rPr>
          <w:rFonts w:ascii="Arial" w:hAnsi="Arial" w:cs="Arial"/>
        </w:rPr>
        <w:t xml:space="preserve"> 35</w:t>
      </w:r>
      <w:r w:rsidR="00FD1704">
        <w:rPr>
          <w:rFonts w:ascii="Arial" w:hAnsi="Arial" w:cs="Arial"/>
        </w:rPr>
        <w:t xml:space="preserve">mm bis </w:t>
      </w:r>
      <w:r w:rsidR="00406CA4">
        <w:rPr>
          <w:rFonts w:ascii="Arial" w:hAnsi="Arial" w:cs="Arial"/>
        </w:rPr>
        <w:t xml:space="preserve">360 </w:t>
      </w:r>
      <w:r w:rsidR="00FD1704">
        <w:rPr>
          <w:rFonts w:ascii="Arial" w:hAnsi="Arial" w:cs="Arial"/>
        </w:rPr>
        <w:t>x</w:t>
      </w:r>
      <w:r w:rsidR="00406CA4">
        <w:rPr>
          <w:rFonts w:ascii="Arial" w:hAnsi="Arial" w:cs="Arial"/>
        </w:rPr>
        <w:t xml:space="preserve"> 200 </w:t>
      </w:r>
      <w:r w:rsidR="00FD1704">
        <w:rPr>
          <w:rFonts w:ascii="Arial" w:hAnsi="Arial" w:cs="Arial"/>
        </w:rPr>
        <w:t>x</w:t>
      </w:r>
      <w:r w:rsidR="00406CA4">
        <w:rPr>
          <w:rFonts w:ascii="Arial" w:hAnsi="Arial" w:cs="Arial"/>
        </w:rPr>
        <w:t xml:space="preserve"> </w:t>
      </w:r>
      <w:r w:rsidR="00406CA4" w:rsidRPr="004345F1">
        <w:rPr>
          <w:rFonts w:ascii="Arial" w:hAnsi="Arial" w:cs="Arial"/>
        </w:rPr>
        <w:t>150</w:t>
      </w:r>
      <w:r w:rsidR="00FD1704" w:rsidRPr="004345F1">
        <w:rPr>
          <w:rFonts w:ascii="Arial" w:hAnsi="Arial" w:cs="Arial"/>
        </w:rPr>
        <w:t>mm</w:t>
      </w:r>
      <w:r w:rsidR="007A08A0">
        <w:rPr>
          <w:rFonts w:ascii="Arial" w:hAnsi="Arial" w:cs="Arial"/>
        </w:rPr>
        <w:t xml:space="preserve"> und in verschiedenen Ausführungen beispielsweise mit transparentem Deckel</w:t>
      </w:r>
      <w:r w:rsidR="00FD1704">
        <w:rPr>
          <w:rFonts w:ascii="Arial" w:hAnsi="Arial" w:cs="Arial"/>
        </w:rPr>
        <w:t>.</w:t>
      </w:r>
      <w:r w:rsidR="00BE0D93">
        <w:rPr>
          <w:rFonts w:ascii="Arial" w:hAnsi="Arial" w:cs="Arial"/>
        </w:rPr>
        <w:t xml:space="preserve"> Die Gehäuseserie kann mit Hilfe des passenden </w:t>
      </w:r>
      <w:r w:rsidR="00DB17CE">
        <w:rPr>
          <w:rFonts w:ascii="Arial" w:hAnsi="Arial" w:cs="Arial"/>
        </w:rPr>
        <w:t xml:space="preserve">Zubehörs wie Montageplatten, Scharnieren, Wandlaschen </w:t>
      </w:r>
      <w:r w:rsidR="004345F1">
        <w:rPr>
          <w:rFonts w:ascii="Arial" w:hAnsi="Arial" w:cs="Arial"/>
        </w:rPr>
        <w:t>u</w:t>
      </w:r>
      <w:r w:rsidR="00F4574E">
        <w:rPr>
          <w:rFonts w:ascii="Arial" w:hAnsi="Arial" w:cs="Arial"/>
        </w:rPr>
        <w:t>sw</w:t>
      </w:r>
      <w:r w:rsidR="004345F1">
        <w:rPr>
          <w:rFonts w:ascii="Arial" w:hAnsi="Arial" w:cs="Arial"/>
        </w:rPr>
        <w:t>.</w:t>
      </w:r>
      <w:r w:rsidR="00BE0D93">
        <w:rPr>
          <w:rFonts w:ascii="Arial" w:hAnsi="Arial" w:cs="Arial"/>
        </w:rPr>
        <w:t xml:space="preserve"> an die jeweilige Anwendung angepasst werden</w:t>
      </w:r>
      <w:r w:rsidR="00DB17CE">
        <w:rPr>
          <w:rFonts w:ascii="Arial" w:hAnsi="Arial" w:cs="Arial"/>
        </w:rPr>
        <w:t>.</w:t>
      </w:r>
      <w:r w:rsidR="00BC473F">
        <w:rPr>
          <w:rFonts w:ascii="Arial" w:hAnsi="Arial" w:cs="Arial"/>
        </w:rPr>
        <w:t xml:space="preserve"> Zudem können auch kundenspezifische Anpassungen umgesetzt werden. </w:t>
      </w:r>
    </w:p>
    <w:p w14:paraId="58EBE058" w14:textId="77777777" w:rsidR="004345F1" w:rsidRDefault="004345F1" w:rsidP="00B84C37">
      <w:pPr>
        <w:pStyle w:val="KeinLeerraum"/>
        <w:jc w:val="both"/>
        <w:rPr>
          <w:rFonts w:ascii="Arial" w:hAnsi="Arial" w:cs="Arial"/>
        </w:rPr>
      </w:pPr>
    </w:p>
    <w:p w14:paraId="3A28B3EA" w14:textId="70B3B187" w:rsidR="004345F1" w:rsidRDefault="004345F1" w:rsidP="00B84C37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</w:t>
      </w:r>
      <w:r w:rsidRPr="005F7A56">
        <w:rPr>
          <w:rFonts w:ascii="Arial" w:hAnsi="Arial" w:cs="Arial"/>
          <w:b/>
        </w:rPr>
        <w:t xml:space="preserve">rch den Einsatz einer </w:t>
      </w:r>
      <w:r>
        <w:rPr>
          <w:rFonts w:ascii="Arial" w:hAnsi="Arial" w:cs="Arial"/>
          <w:b/>
        </w:rPr>
        <w:t xml:space="preserve">geschlossenen </w:t>
      </w:r>
      <w:r w:rsidRPr="005F7A56">
        <w:rPr>
          <w:rFonts w:ascii="Arial" w:hAnsi="Arial" w:cs="Arial"/>
          <w:b/>
        </w:rPr>
        <w:t xml:space="preserve">Silikondichtung wird </w:t>
      </w:r>
      <w:r>
        <w:rPr>
          <w:rFonts w:ascii="Arial" w:hAnsi="Arial" w:cs="Arial"/>
          <w:b/>
        </w:rPr>
        <w:t>bei auserwäh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ten Modellen </w:t>
      </w:r>
      <w:r w:rsidRPr="005F7A56">
        <w:rPr>
          <w:rFonts w:ascii="Arial" w:hAnsi="Arial" w:cs="Arial"/>
          <w:b/>
        </w:rPr>
        <w:t>die Schutzart IP67 erreicht</w:t>
      </w:r>
      <w:r w:rsidR="00F4574E">
        <w:rPr>
          <w:rFonts w:ascii="Arial" w:hAnsi="Arial" w:cs="Arial"/>
          <w:b/>
        </w:rPr>
        <w:t>.</w:t>
      </w:r>
    </w:p>
    <w:p w14:paraId="24C048E0" w14:textId="77777777" w:rsidR="00DB17CE" w:rsidRPr="00313017" w:rsidRDefault="00DB17CE" w:rsidP="00B84C37">
      <w:pPr>
        <w:pStyle w:val="KeinLeerraum"/>
        <w:jc w:val="both"/>
        <w:rPr>
          <w:rFonts w:ascii="Arial" w:hAnsi="Arial" w:cs="Arial"/>
        </w:rPr>
      </w:pPr>
    </w:p>
    <w:p w14:paraId="7FB87131" w14:textId="38AE71C4" w:rsidR="00F5528E" w:rsidRPr="00313017" w:rsidRDefault="00DB17CE" w:rsidP="00B84C37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Vorzugsweise werden d</w:t>
      </w:r>
      <w:r w:rsidR="00F5528E" w:rsidRPr="00313017">
        <w:rPr>
          <w:rFonts w:ascii="Arial" w:hAnsi="Arial" w:cs="Arial"/>
        </w:rPr>
        <w:t xml:space="preserve">ie Kunststoffgehäuse in der </w:t>
      </w:r>
      <w:r w:rsidR="00EC269A">
        <w:rPr>
          <w:rFonts w:ascii="Arial" w:hAnsi="Arial" w:cs="Arial"/>
        </w:rPr>
        <w:t>Gebäudetechnik, Elektrotec</w:t>
      </w:r>
      <w:r w:rsidR="00EC269A">
        <w:rPr>
          <w:rFonts w:ascii="Arial" w:hAnsi="Arial" w:cs="Arial"/>
        </w:rPr>
        <w:t>h</w:t>
      </w:r>
      <w:r w:rsidR="00EC269A">
        <w:rPr>
          <w:rFonts w:ascii="Arial" w:hAnsi="Arial" w:cs="Arial"/>
        </w:rPr>
        <w:t>nik</w:t>
      </w:r>
      <w:r w:rsidR="00F5528E" w:rsidRPr="00313017">
        <w:rPr>
          <w:rFonts w:ascii="Arial" w:hAnsi="Arial" w:cs="Arial"/>
        </w:rPr>
        <w:t xml:space="preserve"> und </w:t>
      </w:r>
      <w:r w:rsidR="00EC269A">
        <w:rPr>
          <w:rFonts w:ascii="Arial" w:hAnsi="Arial" w:cs="Arial"/>
        </w:rPr>
        <w:t xml:space="preserve">Maschinen- und Anlagenbau </w:t>
      </w:r>
      <w:r w:rsidR="00F5528E" w:rsidRPr="00313017">
        <w:rPr>
          <w:rFonts w:ascii="Arial" w:hAnsi="Arial" w:cs="Arial"/>
        </w:rPr>
        <w:t xml:space="preserve">sowie </w:t>
      </w:r>
      <w:r w:rsidR="00EC269A">
        <w:rPr>
          <w:rFonts w:ascii="Arial" w:hAnsi="Arial" w:cs="Arial"/>
        </w:rPr>
        <w:t xml:space="preserve">im Außenbereich </w:t>
      </w:r>
      <w:r w:rsidR="00F5528E" w:rsidRPr="00313017">
        <w:rPr>
          <w:rFonts w:ascii="Arial" w:hAnsi="Arial" w:cs="Arial"/>
        </w:rPr>
        <w:t>eingesetzt.</w:t>
      </w:r>
      <w:r w:rsidR="00B07231">
        <w:rPr>
          <w:rFonts w:ascii="Arial" w:hAnsi="Arial" w:cs="Arial"/>
        </w:rPr>
        <w:t xml:space="preserve"> Die G</w:t>
      </w:r>
      <w:r w:rsidR="00B07231">
        <w:rPr>
          <w:rFonts w:ascii="Arial" w:hAnsi="Arial" w:cs="Arial"/>
        </w:rPr>
        <w:t>e</w:t>
      </w:r>
      <w:r w:rsidR="00B07231">
        <w:rPr>
          <w:rFonts w:ascii="Arial" w:hAnsi="Arial" w:cs="Arial"/>
        </w:rPr>
        <w:t xml:space="preserve">häuse werden </w:t>
      </w:r>
      <w:proofErr w:type="spellStart"/>
      <w:r w:rsidR="00B07231">
        <w:rPr>
          <w:rFonts w:ascii="Arial" w:hAnsi="Arial" w:cs="Arial"/>
        </w:rPr>
        <w:t>unmontiert</w:t>
      </w:r>
      <w:proofErr w:type="spellEnd"/>
      <w:r w:rsidR="00B07231">
        <w:rPr>
          <w:rFonts w:ascii="Arial" w:hAnsi="Arial" w:cs="Arial"/>
        </w:rPr>
        <w:t xml:space="preserve"> mit Ober- und Unterschale, inklusive Dichtung (ab IP67 mit Silikondichtung) und M</w:t>
      </w:r>
      <w:r w:rsidR="00101D47">
        <w:rPr>
          <w:rFonts w:ascii="Arial" w:hAnsi="Arial" w:cs="Arial"/>
        </w:rPr>
        <w:t>3x</w:t>
      </w:r>
      <w:r w:rsidR="00B07231">
        <w:rPr>
          <w:rFonts w:ascii="Arial" w:hAnsi="Arial" w:cs="Arial"/>
        </w:rPr>
        <w:t>4</w:t>
      </w:r>
      <w:r w:rsidR="00101D47">
        <w:rPr>
          <w:rFonts w:ascii="Arial" w:hAnsi="Arial" w:cs="Arial"/>
        </w:rPr>
        <w:t xml:space="preserve"> selbstschneidende</w:t>
      </w:r>
      <w:r w:rsidR="00F4574E">
        <w:rPr>
          <w:rFonts w:ascii="Arial" w:hAnsi="Arial" w:cs="Arial"/>
        </w:rPr>
        <w:t>n</w:t>
      </w:r>
      <w:r w:rsidR="00101D47">
        <w:rPr>
          <w:rFonts w:ascii="Arial" w:hAnsi="Arial" w:cs="Arial"/>
        </w:rPr>
        <w:t xml:space="preserve"> Schrauben </w:t>
      </w:r>
      <w:r w:rsidR="00B07231">
        <w:rPr>
          <w:rFonts w:ascii="Arial" w:hAnsi="Arial" w:cs="Arial"/>
        </w:rPr>
        <w:t>geliefert.</w:t>
      </w:r>
      <w:r w:rsidR="00F5528E" w:rsidRPr="00313017">
        <w:rPr>
          <w:rFonts w:ascii="Arial" w:hAnsi="Arial" w:cs="Arial"/>
        </w:rPr>
        <w:t xml:space="preserve"> </w:t>
      </w:r>
    </w:p>
    <w:p w14:paraId="61DB715D" w14:textId="77777777" w:rsidR="00F5528E" w:rsidRPr="00313017" w:rsidRDefault="00F5528E" w:rsidP="00B84C37">
      <w:pPr>
        <w:pStyle w:val="KeinLeerraum"/>
        <w:jc w:val="both"/>
        <w:rPr>
          <w:rFonts w:ascii="Arial" w:hAnsi="Arial" w:cs="Arial"/>
        </w:rPr>
      </w:pPr>
    </w:p>
    <w:p w14:paraId="3A98F3B2" w14:textId="77777777" w:rsidR="00221C0C" w:rsidRPr="00313017" w:rsidRDefault="006B0337" w:rsidP="003B1B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Weitere t</w:t>
      </w:r>
      <w:r w:rsidR="00C36D9C" w:rsidRPr="00313017">
        <w:rPr>
          <w:rFonts w:ascii="Arial" w:hAnsi="Arial" w:cs="Arial"/>
        </w:rPr>
        <w:t>echnische</w:t>
      </w:r>
      <w:r w:rsidR="00AD558F" w:rsidRPr="00313017">
        <w:rPr>
          <w:rFonts w:ascii="Arial" w:hAnsi="Arial" w:cs="Arial"/>
        </w:rPr>
        <w:t xml:space="preserve"> Informationen</w:t>
      </w:r>
      <w:r w:rsidR="00C36D9C" w:rsidRPr="00313017">
        <w:rPr>
          <w:rFonts w:ascii="Arial" w:hAnsi="Arial" w:cs="Arial"/>
        </w:rPr>
        <w:t xml:space="preserve"> der GH02KS</w:t>
      </w:r>
      <w:r w:rsidR="00673554" w:rsidRPr="00313017">
        <w:rPr>
          <w:rFonts w:ascii="Arial" w:hAnsi="Arial" w:cs="Arial"/>
        </w:rPr>
        <w:t>002</w:t>
      </w:r>
      <w:r w:rsidR="00C36D9C" w:rsidRPr="00313017">
        <w:rPr>
          <w:rFonts w:ascii="Arial" w:hAnsi="Arial" w:cs="Arial"/>
        </w:rPr>
        <w:t>-Serie</w:t>
      </w:r>
      <w:r w:rsidR="00406CA4">
        <w:rPr>
          <w:rFonts w:ascii="Arial" w:hAnsi="Arial" w:cs="Arial"/>
        </w:rPr>
        <w:t xml:space="preserve"> </w:t>
      </w:r>
      <w:r w:rsidR="00406CA4" w:rsidRPr="00313017">
        <w:rPr>
          <w:rFonts w:ascii="Arial" w:hAnsi="Arial" w:cs="Arial"/>
        </w:rPr>
        <w:t>im Überblick</w:t>
      </w:r>
      <w:r w:rsidR="00AD558F" w:rsidRPr="00313017">
        <w:rPr>
          <w:rFonts w:ascii="Arial" w:hAnsi="Arial" w:cs="Arial"/>
        </w:rPr>
        <w:t>:</w:t>
      </w:r>
      <w:r w:rsidR="00221C0C" w:rsidRPr="00313017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510"/>
      </w:tblGrid>
      <w:tr w:rsidR="00221C0C" w:rsidRPr="00313017" w14:paraId="485FFB66" w14:textId="77777777" w:rsidTr="00313017">
        <w:tc>
          <w:tcPr>
            <w:tcW w:w="2518" w:type="dxa"/>
          </w:tcPr>
          <w:p w14:paraId="18C9D79F" w14:textId="77777777" w:rsidR="00221C0C" w:rsidRPr="00406CA4" w:rsidRDefault="00221C0C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Schutzart:</w:t>
            </w:r>
          </w:p>
        </w:tc>
        <w:tc>
          <w:tcPr>
            <w:tcW w:w="5510" w:type="dxa"/>
          </w:tcPr>
          <w:p w14:paraId="1261AE14" w14:textId="77777777" w:rsidR="00221C0C" w:rsidRPr="00406CA4" w:rsidRDefault="00313017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IP65</w:t>
            </w:r>
            <w:r w:rsidRPr="00406CA4">
              <w:rPr>
                <w:rFonts w:ascii="Arial" w:hAnsi="Arial" w:cs="Arial"/>
                <w:sz w:val="20"/>
                <w:szCs w:val="20"/>
              </w:rPr>
              <w:br/>
              <w:t>IP67</w:t>
            </w:r>
          </w:p>
        </w:tc>
      </w:tr>
      <w:tr w:rsidR="00E93D23" w:rsidRPr="00313017" w14:paraId="1FB539CD" w14:textId="77777777" w:rsidTr="00313017">
        <w:tc>
          <w:tcPr>
            <w:tcW w:w="2518" w:type="dxa"/>
          </w:tcPr>
          <w:p w14:paraId="253C527F" w14:textId="77777777" w:rsidR="00E93D23" w:rsidRPr="00406CA4" w:rsidRDefault="00E93D23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Material:</w:t>
            </w:r>
          </w:p>
        </w:tc>
        <w:tc>
          <w:tcPr>
            <w:tcW w:w="5510" w:type="dxa"/>
          </w:tcPr>
          <w:p w14:paraId="16358ED5" w14:textId="77777777" w:rsidR="00E93D23" w:rsidRPr="00406CA4" w:rsidRDefault="00E93D23" w:rsidP="003130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 xml:space="preserve">Polycarbonat </w:t>
            </w:r>
            <w:r w:rsidR="00313017" w:rsidRPr="00406CA4">
              <w:rPr>
                <w:rFonts w:ascii="Arial" w:hAnsi="Arial" w:cs="Arial"/>
                <w:sz w:val="20"/>
                <w:szCs w:val="20"/>
              </w:rPr>
              <w:t xml:space="preserve">oder ABS </w:t>
            </w:r>
            <w:r w:rsidRPr="00406CA4">
              <w:rPr>
                <w:rFonts w:ascii="Arial" w:hAnsi="Arial" w:cs="Arial"/>
                <w:sz w:val="20"/>
                <w:szCs w:val="20"/>
              </w:rPr>
              <w:t xml:space="preserve">(UL </w:t>
            </w:r>
            <w:r w:rsidR="00732B45" w:rsidRPr="00406CA4">
              <w:rPr>
                <w:rFonts w:ascii="Arial" w:hAnsi="Arial" w:cs="Arial"/>
                <w:sz w:val="20"/>
                <w:szCs w:val="20"/>
              </w:rPr>
              <w:t xml:space="preserve">94 </w:t>
            </w:r>
            <w:r w:rsidR="00313017" w:rsidRPr="00406CA4">
              <w:rPr>
                <w:rFonts w:ascii="Arial" w:hAnsi="Arial" w:cs="Arial"/>
                <w:sz w:val="20"/>
                <w:szCs w:val="20"/>
              </w:rPr>
              <w:t>HB</w:t>
            </w:r>
            <w:r w:rsidRPr="00406C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1C0C" w:rsidRPr="00313017" w14:paraId="34300943" w14:textId="77777777" w:rsidTr="00313017">
        <w:tc>
          <w:tcPr>
            <w:tcW w:w="2518" w:type="dxa"/>
          </w:tcPr>
          <w:p w14:paraId="06773EB3" w14:textId="77777777" w:rsidR="00221C0C" w:rsidRPr="00406CA4" w:rsidRDefault="00221C0C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Temperaturbereich:</w:t>
            </w:r>
          </w:p>
        </w:tc>
        <w:tc>
          <w:tcPr>
            <w:tcW w:w="5510" w:type="dxa"/>
          </w:tcPr>
          <w:p w14:paraId="27AD089C" w14:textId="77777777" w:rsidR="00221C0C" w:rsidRPr="00406CA4" w:rsidRDefault="00313017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Polycarbonat -40 bis +120°C</w:t>
            </w:r>
            <w:r w:rsidRPr="00406CA4">
              <w:rPr>
                <w:rFonts w:ascii="Arial" w:hAnsi="Arial" w:cs="Arial"/>
                <w:sz w:val="20"/>
                <w:szCs w:val="20"/>
              </w:rPr>
              <w:br/>
              <w:t>ABS -20 bis +80°C</w:t>
            </w:r>
          </w:p>
        </w:tc>
      </w:tr>
      <w:tr w:rsidR="00221C0C" w:rsidRPr="00313017" w14:paraId="3497ABD4" w14:textId="77777777" w:rsidTr="00313017">
        <w:tc>
          <w:tcPr>
            <w:tcW w:w="2518" w:type="dxa"/>
          </w:tcPr>
          <w:p w14:paraId="31E018D8" w14:textId="77777777" w:rsidR="00221C0C" w:rsidRPr="00406CA4" w:rsidRDefault="00E93D23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Farben:</w:t>
            </w:r>
          </w:p>
        </w:tc>
        <w:tc>
          <w:tcPr>
            <w:tcW w:w="5510" w:type="dxa"/>
          </w:tcPr>
          <w:p w14:paraId="7D25F793" w14:textId="71D4EE62" w:rsidR="00221C0C" w:rsidRPr="00406CA4" w:rsidRDefault="00313017" w:rsidP="002868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130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Polycarbonat lichtgrau (ähnlich RAL 7035),</w:t>
            </w:r>
            <w:r w:rsidRPr="00406CA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31301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 silbergrau (ähnlich RAL 7001)</w:t>
            </w:r>
            <w:r w:rsidR="00F3588F" w:rsidRPr="00406CA4">
              <w:rPr>
                <w:rFonts w:ascii="Arial" w:hAnsi="Arial" w:cs="Arial"/>
                <w:sz w:val="20"/>
                <w:szCs w:val="20"/>
              </w:rPr>
              <w:br/>
              <w:t>weitere auf Anfrage</w:t>
            </w:r>
          </w:p>
        </w:tc>
      </w:tr>
      <w:tr w:rsidR="00E93D23" w:rsidRPr="00313017" w14:paraId="1A954CE1" w14:textId="77777777" w:rsidTr="00313017">
        <w:tc>
          <w:tcPr>
            <w:tcW w:w="2518" w:type="dxa"/>
          </w:tcPr>
          <w:p w14:paraId="39A7AD5F" w14:textId="77777777" w:rsidR="00E93D23" w:rsidRPr="00406CA4" w:rsidRDefault="00406CA4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Modifikationen:</w:t>
            </w:r>
          </w:p>
        </w:tc>
        <w:tc>
          <w:tcPr>
            <w:tcW w:w="5510" w:type="dxa"/>
          </w:tcPr>
          <w:p w14:paraId="70B2E8AE" w14:textId="77777777" w:rsidR="00E93D23" w:rsidRPr="00406CA4" w:rsidRDefault="00406CA4" w:rsidP="003B1B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06CA4">
              <w:rPr>
                <w:rFonts w:ascii="Arial" w:hAnsi="Arial" w:cs="Arial"/>
                <w:sz w:val="20"/>
                <w:szCs w:val="20"/>
              </w:rPr>
              <w:t>passende</w:t>
            </w:r>
            <w:r w:rsidRPr="00406CA4">
              <w:rPr>
                <w:rFonts w:ascii="Arial" w:hAnsi="Arial" w:cs="Arial"/>
                <w:bCs/>
                <w:sz w:val="20"/>
                <w:szCs w:val="20"/>
              </w:rPr>
              <w:t xml:space="preserve"> Folientastaturen</w:t>
            </w:r>
            <w:r w:rsidRPr="00406C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6CA4">
              <w:rPr>
                <w:rFonts w:ascii="Arial" w:hAnsi="Arial" w:cs="Arial"/>
                <w:bCs/>
                <w:sz w:val="20"/>
                <w:szCs w:val="20"/>
              </w:rPr>
              <w:t>mechanische Bearbeitung</w:t>
            </w:r>
            <w:r w:rsidRPr="00406C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6CA4">
              <w:rPr>
                <w:rFonts w:ascii="Arial" w:hAnsi="Arial" w:cs="Arial"/>
                <w:bCs/>
                <w:sz w:val="20"/>
                <w:szCs w:val="20"/>
              </w:rPr>
              <w:t>Eingabesysteme</w:t>
            </w:r>
            <w:r w:rsidRPr="00406C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6CA4">
              <w:rPr>
                <w:rFonts w:ascii="Arial" w:hAnsi="Arial" w:cs="Arial"/>
                <w:bCs/>
                <w:sz w:val="20"/>
                <w:szCs w:val="20"/>
              </w:rPr>
              <w:t>Oberflächenveredelung</w:t>
            </w:r>
            <w:r w:rsidRPr="00406CA4">
              <w:rPr>
                <w:rFonts w:ascii="Arial" w:hAnsi="Arial" w:cs="Arial"/>
                <w:sz w:val="20"/>
                <w:szCs w:val="20"/>
              </w:rPr>
              <w:t xml:space="preserve"> (EMV, ESD, MED, ...) uvm. sind jederzeit auf Anfrage möglich</w:t>
            </w:r>
          </w:p>
        </w:tc>
      </w:tr>
    </w:tbl>
    <w:p w14:paraId="7BB4B0DA" w14:textId="77777777" w:rsidR="00F54DD8" w:rsidRDefault="00F54DD8" w:rsidP="009A4185">
      <w:pPr>
        <w:pStyle w:val="KeinLeerraum"/>
        <w:rPr>
          <w:rFonts w:ascii="Arial" w:hAnsi="Arial" w:cs="Arial"/>
          <w:sz w:val="24"/>
        </w:rPr>
      </w:pPr>
    </w:p>
    <w:p w14:paraId="7288C408" w14:textId="77777777" w:rsidR="007A08A0" w:rsidRDefault="007A08A0" w:rsidP="009A4185">
      <w:pPr>
        <w:pStyle w:val="KeinLeerraum"/>
        <w:rPr>
          <w:rFonts w:ascii="Arial" w:hAnsi="Arial" w:cs="Arial"/>
          <w:sz w:val="24"/>
        </w:rPr>
      </w:pPr>
    </w:p>
    <w:p w14:paraId="2CF25552" w14:textId="77777777" w:rsidR="007E4E5B" w:rsidRDefault="007E4E5B" w:rsidP="009A4185">
      <w:pPr>
        <w:pStyle w:val="KeinLeerraum"/>
        <w:rPr>
          <w:rFonts w:ascii="Arial" w:hAnsi="Arial" w:cs="Arial"/>
          <w:sz w:val="24"/>
        </w:rPr>
      </w:pPr>
    </w:p>
    <w:p w14:paraId="03D556EE" w14:textId="77777777" w:rsidR="007A08A0" w:rsidRDefault="007A08A0" w:rsidP="009A4185">
      <w:pPr>
        <w:pStyle w:val="KeinLeerraum"/>
        <w:rPr>
          <w:rFonts w:ascii="Arial" w:hAnsi="Arial" w:cs="Arial"/>
          <w:sz w:val="24"/>
        </w:rPr>
      </w:pPr>
    </w:p>
    <w:p w14:paraId="2A748ADB" w14:textId="7D200496" w:rsidR="00F45E07" w:rsidRDefault="009A4185" w:rsidP="009A4185">
      <w:pPr>
        <w:pStyle w:val="KeinLeerraum"/>
        <w:rPr>
          <w:rStyle w:val="Hyperlink"/>
          <w:b w:val="0"/>
          <w:color w:val="auto"/>
          <w:sz w:val="22"/>
          <w:szCs w:val="22"/>
        </w:rPr>
      </w:pPr>
      <w:r w:rsidRPr="000922A1">
        <w:rPr>
          <w:rFonts w:ascii="Arial" w:hAnsi="Arial" w:cs="Arial"/>
        </w:rPr>
        <w:t xml:space="preserve">Weitere Informationen über die Gehäuse </w:t>
      </w:r>
      <w:r w:rsidR="00406C12" w:rsidRPr="000922A1">
        <w:rPr>
          <w:rFonts w:ascii="Arial" w:hAnsi="Arial" w:cs="Arial"/>
        </w:rPr>
        <w:t xml:space="preserve">sowie das passende Zubehör </w:t>
      </w:r>
      <w:r w:rsidR="00032471" w:rsidRPr="000922A1">
        <w:rPr>
          <w:rFonts w:ascii="Arial" w:hAnsi="Arial" w:cs="Arial"/>
        </w:rPr>
        <w:br/>
      </w:r>
      <w:r w:rsidRPr="000922A1">
        <w:rPr>
          <w:rFonts w:ascii="Arial" w:hAnsi="Arial" w:cs="Arial"/>
        </w:rPr>
        <w:t>finden Sie unter</w:t>
      </w:r>
      <w:r w:rsidR="00406C12" w:rsidRPr="000922A1">
        <w:rPr>
          <w:rFonts w:ascii="Arial" w:hAnsi="Arial" w:cs="Arial"/>
        </w:rPr>
        <w:t>:</w:t>
      </w:r>
      <w:r w:rsidRPr="000922A1">
        <w:rPr>
          <w:rFonts w:ascii="Arial" w:hAnsi="Arial" w:cs="Arial"/>
        </w:rPr>
        <w:t xml:space="preserve"> </w:t>
      </w:r>
      <w:r w:rsidR="001B1A32" w:rsidRPr="009B4A80">
        <w:rPr>
          <w:rFonts w:ascii="Arial" w:hAnsi="Arial" w:cs="Arial"/>
        </w:rPr>
        <w:t xml:space="preserve"> </w:t>
      </w:r>
      <w:r w:rsidR="009B4A80" w:rsidRPr="00A7112A">
        <w:rPr>
          <w:rFonts w:ascii="Arial" w:hAnsi="Arial" w:cs="Arial"/>
          <w:b/>
          <w:bCs/>
          <w:color w:val="009DA2"/>
        </w:rPr>
        <w:t>https://www.industriegehaeuse.de/de/kunststoff-gehaeuse/kunststoff-gehaeuse-serie-gh02/kunststoffgehaeuse-ks002/</w:t>
      </w:r>
    </w:p>
    <w:p w14:paraId="53FFB558" w14:textId="76718C93" w:rsidR="009A4185" w:rsidRDefault="009A4185" w:rsidP="009A4185">
      <w:pPr>
        <w:pStyle w:val="KeinLeerraum"/>
        <w:rPr>
          <w:rFonts w:ascii="Arial" w:hAnsi="Arial" w:cs="Arial"/>
        </w:rPr>
      </w:pPr>
    </w:p>
    <w:p w14:paraId="7D2ADA4F" w14:textId="77777777" w:rsidR="001B1A32" w:rsidRPr="000922A1" w:rsidRDefault="001B1A32" w:rsidP="009A4185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13DCDD3E" w14:textId="77777777" w:rsidR="009A4185" w:rsidRPr="000922A1" w:rsidRDefault="009A4185" w:rsidP="009A4185">
      <w:pPr>
        <w:pStyle w:val="KeinLeerraum"/>
        <w:rPr>
          <w:rFonts w:ascii="Arial" w:hAnsi="Arial" w:cs="Arial"/>
        </w:rPr>
      </w:pPr>
      <w:r w:rsidRPr="000922A1">
        <w:rPr>
          <w:rFonts w:ascii="Arial" w:hAnsi="Arial" w:cs="Arial"/>
        </w:rPr>
        <w:lastRenderedPageBreak/>
        <w:t>Die Richard Wöhr GmbH ist ein mittelständisches Familienunternehmen im Nordschwarzwald. Mit über 90 Mitarbeitern entwickelt, fertigt und vertreibt das Unternehmen weltweit kundenspezifische Komplettlösungen. Besonders Flac</w:t>
      </w:r>
      <w:r w:rsidRPr="000922A1">
        <w:rPr>
          <w:rFonts w:ascii="Arial" w:hAnsi="Arial" w:cs="Arial"/>
        </w:rPr>
        <w:t>h</w:t>
      </w:r>
      <w:r w:rsidRPr="000922A1">
        <w:rPr>
          <w:rFonts w:ascii="Arial" w:hAnsi="Arial" w:cs="Arial"/>
        </w:rPr>
        <w:t>eingabesysteme, Folientastaturen, Touchscreens und Industriekomponenten für die Bereiche Steuern, Bedienen und Anzeigen sowie Industriegehäuse für vielse</w:t>
      </w:r>
      <w:r w:rsidRPr="000922A1">
        <w:rPr>
          <w:rFonts w:ascii="Arial" w:hAnsi="Arial" w:cs="Arial"/>
        </w:rPr>
        <w:t>i</w:t>
      </w:r>
      <w:r w:rsidRPr="000922A1">
        <w:rPr>
          <w:rFonts w:ascii="Arial" w:hAnsi="Arial" w:cs="Arial"/>
        </w:rPr>
        <w:t>tige Anwendungen.</w:t>
      </w:r>
    </w:p>
    <w:p w14:paraId="1B20590F" w14:textId="77777777" w:rsidR="009A4185" w:rsidRPr="000922A1" w:rsidRDefault="009A4185" w:rsidP="009A4185">
      <w:pPr>
        <w:pStyle w:val="KeinLeerraum"/>
        <w:rPr>
          <w:rFonts w:ascii="Arial" w:hAnsi="Arial" w:cs="Arial"/>
        </w:rPr>
      </w:pPr>
    </w:p>
    <w:p w14:paraId="43055D81" w14:textId="77777777" w:rsidR="009A4185" w:rsidRPr="000922A1" w:rsidRDefault="009A4185" w:rsidP="009A4185">
      <w:pPr>
        <w:spacing w:after="0" w:line="360" w:lineRule="auto"/>
        <w:contextualSpacing/>
        <w:jc w:val="both"/>
        <w:rPr>
          <w:rStyle w:val="Hyperlink"/>
          <w:b w:val="0"/>
          <w:bCs w:val="0"/>
          <w:color w:val="auto"/>
          <w:sz w:val="22"/>
          <w:szCs w:val="22"/>
        </w:rPr>
      </w:pPr>
      <w:r w:rsidRPr="000922A1">
        <w:rPr>
          <w:rFonts w:ascii="Arial" w:hAnsi="Arial" w:cs="Arial"/>
        </w:rPr>
        <w:t>Download dieser Pressemitteilung und w</w:t>
      </w:r>
      <w:r w:rsidR="006C09DD" w:rsidRPr="000922A1">
        <w:rPr>
          <w:rFonts w:ascii="Arial" w:hAnsi="Arial" w:cs="Arial"/>
        </w:rPr>
        <w:t>eitere Informationen und Bilder</w:t>
      </w:r>
      <w:r w:rsidR="006C09DD" w:rsidRPr="000922A1">
        <w:rPr>
          <w:rFonts w:ascii="Arial" w:hAnsi="Arial" w:cs="Arial"/>
        </w:rPr>
        <w:br/>
      </w:r>
      <w:r w:rsidRPr="000922A1">
        <w:rPr>
          <w:rFonts w:ascii="Arial" w:hAnsi="Arial" w:cs="Arial"/>
        </w:rPr>
        <w:t xml:space="preserve">unter </w:t>
      </w:r>
      <w:hyperlink r:id="rId9" w:history="1">
        <w:r w:rsidRPr="000922A1">
          <w:rPr>
            <w:rStyle w:val="Hyperlink"/>
            <w:color w:val="009DA2"/>
            <w:sz w:val="22"/>
            <w:szCs w:val="22"/>
          </w:rPr>
          <w:t>https://www.woehrgmbh.de/de/aktuelles-presse/pressecenter</w:t>
        </w:r>
      </w:hyperlink>
    </w:p>
    <w:p w14:paraId="3FE0FB86" w14:textId="77777777" w:rsidR="003C1C57" w:rsidRPr="00507B6B" w:rsidRDefault="005F062D" w:rsidP="003B1BD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B1BDA">
        <w:rPr>
          <w:b/>
        </w:rP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14:paraId="351E1F78" w14:textId="77777777"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14:paraId="5FAA05A0" w14:textId="77777777"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>E-Mail:</w:t>
      </w:r>
      <w:r w:rsidR="00032471">
        <w:rPr>
          <w:rFonts w:ascii="Arial" w:hAnsi="Arial" w:cs="Arial"/>
          <w:spacing w:val="1"/>
          <w:sz w:val="18"/>
          <w:szCs w:val="16"/>
        </w:rPr>
        <w:t xml:space="preserve"> J.Thumm@WoehrGmbH.de</w:t>
      </w:r>
    </w:p>
    <w:sectPr w:rsidR="00CA5188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3C0B3" w15:done="0"/>
  <w15:commentEx w15:paraId="2F9C3451" w15:done="0"/>
  <w15:commentEx w15:paraId="5131AF8C" w15:done="0"/>
  <w15:commentEx w15:paraId="7B4A2DC2" w15:done="0"/>
  <w15:commentEx w15:paraId="57FFAD15" w15:done="0"/>
  <w15:commentEx w15:paraId="3F260F69" w15:done="0"/>
  <w15:commentEx w15:paraId="10B32837" w15:done="0"/>
  <w15:commentEx w15:paraId="4761A7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3C0B3" w16cid:durableId="2033CEE1"/>
  <w16cid:commentId w16cid:paraId="2F9C3451" w16cid:durableId="2033CEFF"/>
  <w16cid:commentId w16cid:paraId="5131AF8C" w16cid:durableId="2033CF5A"/>
  <w16cid:commentId w16cid:paraId="7B4A2DC2" w16cid:durableId="2033CF9C"/>
  <w16cid:commentId w16cid:paraId="57FFAD15" w16cid:durableId="2033CFF6"/>
  <w16cid:commentId w16cid:paraId="3F260F69" w16cid:durableId="2033D04E"/>
  <w16cid:commentId w16cid:paraId="10B32837" w16cid:durableId="2033D00C"/>
  <w16cid:commentId w16cid:paraId="4761A749" w16cid:durableId="2033D0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C10B" w14:textId="77777777" w:rsidR="00321AA4" w:rsidRDefault="00321AA4" w:rsidP="003C1C57">
      <w:pPr>
        <w:spacing w:after="0" w:line="240" w:lineRule="auto"/>
      </w:pPr>
      <w:r>
        <w:separator/>
      </w:r>
    </w:p>
  </w:endnote>
  <w:endnote w:type="continuationSeparator" w:id="0">
    <w:p w14:paraId="02AF1D63" w14:textId="77777777" w:rsidR="00321AA4" w:rsidRDefault="00321A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BA8E" w14:textId="77777777" w:rsidR="00321AA4" w:rsidRDefault="00321AA4" w:rsidP="003C1C57">
      <w:pPr>
        <w:spacing w:after="0" w:line="240" w:lineRule="auto"/>
      </w:pPr>
      <w:r>
        <w:separator/>
      </w:r>
    </w:p>
  </w:footnote>
  <w:footnote w:type="continuationSeparator" w:id="0">
    <w:p w14:paraId="11474509" w14:textId="77777777" w:rsidR="00321AA4" w:rsidRDefault="00321A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1AB5" w14:textId="77777777" w:rsidR="00756177" w:rsidRDefault="007561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20755679" wp14:editId="508325CA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A4C"/>
    <w:multiLevelType w:val="multilevel"/>
    <w:tmpl w:val="2ECC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B340D"/>
    <w:multiLevelType w:val="multilevel"/>
    <w:tmpl w:val="357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Wöhr">
    <w15:presenceInfo w15:providerId="AD" w15:userId="S::s.woehr@richardwoehr.onmicrosoft.de::ffcb1cbf-1dcb-41af-96d8-f836d54fc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1529"/>
    <w:rsid w:val="00022770"/>
    <w:rsid w:val="00032471"/>
    <w:rsid w:val="000460C5"/>
    <w:rsid w:val="00055A52"/>
    <w:rsid w:val="00060215"/>
    <w:rsid w:val="00087E4B"/>
    <w:rsid w:val="000922A1"/>
    <w:rsid w:val="000927AC"/>
    <w:rsid w:val="0009587A"/>
    <w:rsid w:val="00096B06"/>
    <w:rsid w:val="000A69E1"/>
    <w:rsid w:val="000A6A13"/>
    <w:rsid w:val="000B1192"/>
    <w:rsid w:val="000B14DF"/>
    <w:rsid w:val="000B291F"/>
    <w:rsid w:val="000C31C3"/>
    <w:rsid w:val="000C5C40"/>
    <w:rsid w:val="000D2643"/>
    <w:rsid w:val="000D506E"/>
    <w:rsid w:val="0010178F"/>
    <w:rsid w:val="00101D47"/>
    <w:rsid w:val="00106DB4"/>
    <w:rsid w:val="0011464F"/>
    <w:rsid w:val="0012777C"/>
    <w:rsid w:val="00127BA5"/>
    <w:rsid w:val="00141220"/>
    <w:rsid w:val="00157713"/>
    <w:rsid w:val="001644D0"/>
    <w:rsid w:val="001659BC"/>
    <w:rsid w:val="00166445"/>
    <w:rsid w:val="001677A3"/>
    <w:rsid w:val="00182759"/>
    <w:rsid w:val="001836AF"/>
    <w:rsid w:val="00184C7E"/>
    <w:rsid w:val="00191AA8"/>
    <w:rsid w:val="0019618A"/>
    <w:rsid w:val="001B1A32"/>
    <w:rsid w:val="001E5225"/>
    <w:rsid w:val="001F4D8E"/>
    <w:rsid w:val="002073E0"/>
    <w:rsid w:val="0020782E"/>
    <w:rsid w:val="002127F1"/>
    <w:rsid w:val="00221C0C"/>
    <w:rsid w:val="00222D11"/>
    <w:rsid w:val="00254621"/>
    <w:rsid w:val="00267829"/>
    <w:rsid w:val="00283B3F"/>
    <w:rsid w:val="0028680B"/>
    <w:rsid w:val="002A0EF9"/>
    <w:rsid w:val="002C2867"/>
    <w:rsid w:val="002D3800"/>
    <w:rsid w:val="002E7A78"/>
    <w:rsid w:val="002F543D"/>
    <w:rsid w:val="0030328B"/>
    <w:rsid w:val="00313017"/>
    <w:rsid w:val="00321AA4"/>
    <w:rsid w:val="00327CC8"/>
    <w:rsid w:val="00331CA5"/>
    <w:rsid w:val="003334CB"/>
    <w:rsid w:val="003372D5"/>
    <w:rsid w:val="003462EC"/>
    <w:rsid w:val="00352133"/>
    <w:rsid w:val="003610B2"/>
    <w:rsid w:val="00365F44"/>
    <w:rsid w:val="003739C0"/>
    <w:rsid w:val="0038777F"/>
    <w:rsid w:val="00391873"/>
    <w:rsid w:val="00394180"/>
    <w:rsid w:val="003961EC"/>
    <w:rsid w:val="003B1BDA"/>
    <w:rsid w:val="003C1AD6"/>
    <w:rsid w:val="003C1C57"/>
    <w:rsid w:val="003E17E1"/>
    <w:rsid w:val="003F32B9"/>
    <w:rsid w:val="003F6F61"/>
    <w:rsid w:val="00406C12"/>
    <w:rsid w:val="00406CA4"/>
    <w:rsid w:val="00414387"/>
    <w:rsid w:val="004145B8"/>
    <w:rsid w:val="004149AC"/>
    <w:rsid w:val="004152C5"/>
    <w:rsid w:val="004345F1"/>
    <w:rsid w:val="00434979"/>
    <w:rsid w:val="00435162"/>
    <w:rsid w:val="00457899"/>
    <w:rsid w:val="004A3162"/>
    <w:rsid w:val="004A4274"/>
    <w:rsid w:val="004A4947"/>
    <w:rsid w:val="004B1897"/>
    <w:rsid w:val="004D003E"/>
    <w:rsid w:val="004E2AFD"/>
    <w:rsid w:val="004E7BFE"/>
    <w:rsid w:val="004F3CDB"/>
    <w:rsid w:val="00507B6B"/>
    <w:rsid w:val="005133CD"/>
    <w:rsid w:val="005463EC"/>
    <w:rsid w:val="005520CA"/>
    <w:rsid w:val="00553689"/>
    <w:rsid w:val="00553E77"/>
    <w:rsid w:val="00560426"/>
    <w:rsid w:val="00566160"/>
    <w:rsid w:val="005718E5"/>
    <w:rsid w:val="00577FD9"/>
    <w:rsid w:val="00585E3C"/>
    <w:rsid w:val="00592105"/>
    <w:rsid w:val="005A20AD"/>
    <w:rsid w:val="005B501A"/>
    <w:rsid w:val="005C337A"/>
    <w:rsid w:val="005D3FD1"/>
    <w:rsid w:val="005E2736"/>
    <w:rsid w:val="005E3421"/>
    <w:rsid w:val="005E3DD6"/>
    <w:rsid w:val="005F062D"/>
    <w:rsid w:val="005F3F94"/>
    <w:rsid w:val="005F7A56"/>
    <w:rsid w:val="006108FF"/>
    <w:rsid w:val="006145D9"/>
    <w:rsid w:val="006375FB"/>
    <w:rsid w:val="00651847"/>
    <w:rsid w:val="00652A8F"/>
    <w:rsid w:val="00663F67"/>
    <w:rsid w:val="00667B6C"/>
    <w:rsid w:val="00671E28"/>
    <w:rsid w:val="00673554"/>
    <w:rsid w:val="006B0337"/>
    <w:rsid w:val="006B70E1"/>
    <w:rsid w:val="006C09DD"/>
    <w:rsid w:val="006C2E57"/>
    <w:rsid w:val="006C7850"/>
    <w:rsid w:val="006E55A4"/>
    <w:rsid w:val="006F10A5"/>
    <w:rsid w:val="00723E2A"/>
    <w:rsid w:val="00724DD8"/>
    <w:rsid w:val="00732B45"/>
    <w:rsid w:val="00744458"/>
    <w:rsid w:val="00746628"/>
    <w:rsid w:val="007538ED"/>
    <w:rsid w:val="007546D4"/>
    <w:rsid w:val="00755C8B"/>
    <w:rsid w:val="00756177"/>
    <w:rsid w:val="007625C8"/>
    <w:rsid w:val="0076492D"/>
    <w:rsid w:val="007649A4"/>
    <w:rsid w:val="00773096"/>
    <w:rsid w:val="00773456"/>
    <w:rsid w:val="007744E2"/>
    <w:rsid w:val="00783162"/>
    <w:rsid w:val="007831CC"/>
    <w:rsid w:val="00783BAD"/>
    <w:rsid w:val="007A0003"/>
    <w:rsid w:val="007A08A0"/>
    <w:rsid w:val="007B2E36"/>
    <w:rsid w:val="007B484D"/>
    <w:rsid w:val="007C4EA3"/>
    <w:rsid w:val="007C510E"/>
    <w:rsid w:val="007C7867"/>
    <w:rsid w:val="007D16F5"/>
    <w:rsid w:val="007D2284"/>
    <w:rsid w:val="007D55E5"/>
    <w:rsid w:val="007D6803"/>
    <w:rsid w:val="007E4E5B"/>
    <w:rsid w:val="007E776A"/>
    <w:rsid w:val="007E7AE5"/>
    <w:rsid w:val="00810C77"/>
    <w:rsid w:val="0082136F"/>
    <w:rsid w:val="00843274"/>
    <w:rsid w:val="008554E3"/>
    <w:rsid w:val="0088233A"/>
    <w:rsid w:val="008960A1"/>
    <w:rsid w:val="00897679"/>
    <w:rsid w:val="008B1FB7"/>
    <w:rsid w:val="008C5A58"/>
    <w:rsid w:val="008C707D"/>
    <w:rsid w:val="008D59E4"/>
    <w:rsid w:val="008F063F"/>
    <w:rsid w:val="008F46A2"/>
    <w:rsid w:val="008F4B92"/>
    <w:rsid w:val="00911C03"/>
    <w:rsid w:val="00921E69"/>
    <w:rsid w:val="00927297"/>
    <w:rsid w:val="00942E77"/>
    <w:rsid w:val="00951DBE"/>
    <w:rsid w:val="0097758E"/>
    <w:rsid w:val="0097767F"/>
    <w:rsid w:val="009A4185"/>
    <w:rsid w:val="009A55F6"/>
    <w:rsid w:val="009B4A80"/>
    <w:rsid w:val="009B6B4A"/>
    <w:rsid w:val="009B710F"/>
    <w:rsid w:val="009C5499"/>
    <w:rsid w:val="009C64CD"/>
    <w:rsid w:val="009E59F6"/>
    <w:rsid w:val="009F4F47"/>
    <w:rsid w:val="009F7E59"/>
    <w:rsid w:val="00A06376"/>
    <w:rsid w:val="00A51648"/>
    <w:rsid w:val="00A521A4"/>
    <w:rsid w:val="00A7112A"/>
    <w:rsid w:val="00A86F5B"/>
    <w:rsid w:val="00A874A1"/>
    <w:rsid w:val="00A944D2"/>
    <w:rsid w:val="00AA4D2F"/>
    <w:rsid w:val="00AD169B"/>
    <w:rsid w:val="00AD558F"/>
    <w:rsid w:val="00AD6E55"/>
    <w:rsid w:val="00AF2058"/>
    <w:rsid w:val="00AF70D9"/>
    <w:rsid w:val="00AF7D64"/>
    <w:rsid w:val="00B07231"/>
    <w:rsid w:val="00B10086"/>
    <w:rsid w:val="00B1104F"/>
    <w:rsid w:val="00B406E2"/>
    <w:rsid w:val="00B638AD"/>
    <w:rsid w:val="00B74941"/>
    <w:rsid w:val="00B757AB"/>
    <w:rsid w:val="00B84C37"/>
    <w:rsid w:val="00B94884"/>
    <w:rsid w:val="00B9658D"/>
    <w:rsid w:val="00BA13D2"/>
    <w:rsid w:val="00BC0650"/>
    <w:rsid w:val="00BC473F"/>
    <w:rsid w:val="00BD11B9"/>
    <w:rsid w:val="00BE002A"/>
    <w:rsid w:val="00BE0D93"/>
    <w:rsid w:val="00BE468D"/>
    <w:rsid w:val="00BE51BD"/>
    <w:rsid w:val="00BE587D"/>
    <w:rsid w:val="00BE5981"/>
    <w:rsid w:val="00BF0247"/>
    <w:rsid w:val="00C26B85"/>
    <w:rsid w:val="00C33408"/>
    <w:rsid w:val="00C36D9C"/>
    <w:rsid w:val="00C40DCC"/>
    <w:rsid w:val="00C546F7"/>
    <w:rsid w:val="00C579C1"/>
    <w:rsid w:val="00C83289"/>
    <w:rsid w:val="00CA3F9B"/>
    <w:rsid w:val="00CA5188"/>
    <w:rsid w:val="00CC2766"/>
    <w:rsid w:val="00CE278B"/>
    <w:rsid w:val="00CE2F37"/>
    <w:rsid w:val="00CF6616"/>
    <w:rsid w:val="00D014F6"/>
    <w:rsid w:val="00D07934"/>
    <w:rsid w:val="00D10BB7"/>
    <w:rsid w:val="00D120C4"/>
    <w:rsid w:val="00D1266D"/>
    <w:rsid w:val="00D3314B"/>
    <w:rsid w:val="00D64020"/>
    <w:rsid w:val="00D709AC"/>
    <w:rsid w:val="00D75395"/>
    <w:rsid w:val="00D824BC"/>
    <w:rsid w:val="00D82632"/>
    <w:rsid w:val="00D875FE"/>
    <w:rsid w:val="00D87C75"/>
    <w:rsid w:val="00DB17CE"/>
    <w:rsid w:val="00DB4B0C"/>
    <w:rsid w:val="00DD13F3"/>
    <w:rsid w:val="00DD3170"/>
    <w:rsid w:val="00DE0171"/>
    <w:rsid w:val="00DF564F"/>
    <w:rsid w:val="00E05E6D"/>
    <w:rsid w:val="00E071DD"/>
    <w:rsid w:val="00E075EF"/>
    <w:rsid w:val="00E112C0"/>
    <w:rsid w:val="00E12993"/>
    <w:rsid w:val="00E13B08"/>
    <w:rsid w:val="00E1668B"/>
    <w:rsid w:val="00E20CB4"/>
    <w:rsid w:val="00E23429"/>
    <w:rsid w:val="00E25323"/>
    <w:rsid w:val="00E2718F"/>
    <w:rsid w:val="00E44917"/>
    <w:rsid w:val="00E51B8F"/>
    <w:rsid w:val="00E66FCC"/>
    <w:rsid w:val="00E71CEA"/>
    <w:rsid w:val="00E76F9D"/>
    <w:rsid w:val="00E82DFC"/>
    <w:rsid w:val="00E8657C"/>
    <w:rsid w:val="00E93D23"/>
    <w:rsid w:val="00E93D35"/>
    <w:rsid w:val="00EB0AFD"/>
    <w:rsid w:val="00EB0BD7"/>
    <w:rsid w:val="00EC269A"/>
    <w:rsid w:val="00EC31F7"/>
    <w:rsid w:val="00ED449F"/>
    <w:rsid w:val="00ED6D07"/>
    <w:rsid w:val="00F15DBE"/>
    <w:rsid w:val="00F21696"/>
    <w:rsid w:val="00F26768"/>
    <w:rsid w:val="00F3288E"/>
    <w:rsid w:val="00F3588F"/>
    <w:rsid w:val="00F36704"/>
    <w:rsid w:val="00F4574E"/>
    <w:rsid w:val="00F45E07"/>
    <w:rsid w:val="00F54DD8"/>
    <w:rsid w:val="00F5528E"/>
    <w:rsid w:val="00F56DD1"/>
    <w:rsid w:val="00F61B90"/>
    <w:rsid w:val="00F62D7F"/>
    <w:rsid w:val="00F65C79"/>
    <w:rsid w:val="00F75853"/>
    <w:rsid w:val="00F853B0"/>
    <w:rsid w:val="00FC4F18"/>
    <w:rsid w:val="00FD1704"/>
    <w:rsid w:val="00FE681B"/>
    <w:rsid w:val="00FF38E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4C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2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3288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91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7713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313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2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3288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91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7713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313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oehrgmbh.de/de/aktuelles-presse/pressec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3880-121E-465B-A8BD-0866894A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Jacqueline Thumm</cp:lastModifiedBy>
  <cp:revision>32</cp:revision>
  <cp:lastPrinted>2019-05-13T06:45:00Z</cp:lastPrinted>
  <dcterms:created xsi:type="dcterms:W3CDTF">2019-02-18T15:32:00Z</dcterms:created>
  <dcterms:modified xsi:type="dcterms:W3CDTF">2019-05-13T06:51:00Z</dcterms:modified>
</cp:coreProperties>
</file>