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b/>
          <w:spacing w:val="1"/>
          <w:sz w:val="28"/>
          <w:szCs w:val="28"/>
        </w:rPr>
      </w:pPr>
      <w:proofErr w:type="gramStart"/>
      <w:r>
        <w:rPr>
          <w:rFonts w:ascii="Arial" w:hAnsi="Arial" w:cs="Arial"/>
          <w:b/>
          <w:spacing w:val="59"/>
          <w:sz w:val="28"/>
          <w:szCs w:val="28"/>
        </w:rPr>
        <w:t>PRESSEMELDUNG</w:t>
      </w:r>
      <w:r>
        <w:rPr>
          <w:rFonts w:ascii="Arial" w:hAnsi="Arial" w:cs="Arial"/>
          <w:b/>
          <w:spacing w:val="1"/>
          <w:sz w:val="28"/>
          <w:szCs w:val="28"/>
        </w:rPr>
        <w:t xml:space="preserve">  |</w:t>
      </w:r>
      <w:proofErr w:type="gramEnd"/>
      <w:r>
        <w:rPr>
          <w:rFonts w:ascii="Arial" w:hAnsi="Arial" w:cs="Arial"/>
          <w:b/>
          <w:spacing w:val="1"/>
          <w:sz w:val="28"/>
          <w:szCs w:val="28"/>
        </w:rPr>
        <w:t xml:space="preserve">   26.08.2021</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Neues 6-Modul Hutschienengehäuse von WÖHR</w:t>
      </w:r>
    </w:p>
    <w:p>
      <w:pPr>
        <w:pStyle w:val="berschrift1"/>
        <w:spacing w:line="276" w:lineRule="auto"/>
        <w:rPr>
          <w:rFonts w:ascii="Arial" w:hAnsi="Arial" w:cs="Arial"/>
          <w:sz w:val="22"/>
          <w:szCs w:val="22"/>
        </w:rPr>
      </w:pPr>
      <w:r>
        <w:rPr>
          <w:rFonts w:ascii="Arial" w:hAnsi="Arial" w:cs="Arial"/>
          <w:sz w:val="22"/>
          <w:szCs w:val="22"/>
        </w:rPr>
        <w:t>Einfache Montage und standardmäßig verfügbar!</w:t>
      </w:r>
    </w:p>
    <w:tbl>
      <w:tblPr>
        <w:tblStyle w:val="Tabellenraster"/>
        <w:tblpPr w:leftFromText="141" w:rightFromText="141" w:vertAnchor="text" w:horzAnchor="margin" w:tblpY="3193"/>
        <w:tblW w:w="9010" w:type="dxa"/>
        <w:tblLook w:val="04A0" w:firstRow="1" w:lastRow="0" w:firstColumn="1" w:lastColumn="0" w:noHBand="0" w:noVBand="1"/>
      </w:tblPr>
      <w:tblGrid>
        <w:gridCol w:w="3306"/>
        <w:gridCol w:w="5704"/>
      </w:tblGrid>
      <w:tr>
        <w:trPr>
          <w:trHeight w:val="384"/>
        </w:trPr>
        <w:tc>
          <w:tcPr>
            <w:tcW w:w="3306" w:type="dxa"/>
            <w:hideMark/>
          </w:tcPr>
          <w:p>
            <w:pPr>
              <w:pStyle w:val="bodytext"/>
              <w:rPr>
                <w:rFonts w:ascii="Arial" w:hAnsi="Arial" w:cs="Arial"/>
                <w:b/>
                <w:bCs/>
                <w:sz w:val="20"/>
                <w:szCs w:val="20"/>
              </w:rPr>
            </w:pPr>
            <w:r>
              <w:rPr>
                <w:rFonts w:ascii="Arial" w:hAnsi="Arial" w:cs="Arial"/>
                <w:b/>
                <w:bCs/>
                <w:sz w:val="20"/>
                <w:szCs w:val="20"/>
              </w:rPr>
              <w:t>Material:</w:t>
            </w:r>
          </w:p>
        </w:tc>
        <w:tc>
          <w:tcPr>
            <w:tcW w:w="0" w:type="auto"/>
            <w:hideMark/>
          </w:tcPr>
          <w:p>
            <w:pPr>
              <w:pStyle w:val="bodytext"/>
              <w:rPr>
                <w:rFonts w:ascii="Arial" w:hAnsi="Arial" w:cs="Arial"/>
                <w:sz w:val="20"/>
                <w:szCs w:val="20"/>
              </w:rPr>
            </w:pPr>
            <w:r>
              <w:rPr>
                <w:rFonts w:ascii="Arial" w:hAnsi="Arial" w:cs="Arial"/>
                <w:sz w:val="20"/>
                <w:szCs w:val="20"/>
              </w:rPr>
              <w:t xml:space="preserve">Oberteil: </w:t>
            </w:r>
            <w:proofErr w:type="spellStart"/>
            <w:r>
              <w:rPr>
                <w:rFonts w:ascii="Arial" w:hAnsi="Arial" w:cs="Arial"/>
                <w:sz w:val="20"/>
                <w:szCs w:val="20"/>
              </w:rPr>
              <w:t>Lexan</w:t>
            </w:r>
            <w:proofErr w:type="spellEnd"/>
            <w:r>
              <w:rPr>
                <w:rFonts w:ascii="Arial" w:hAnsi="Arial" w:cs="Arial"/>
                <w:sz w:val="20"/>
                <w:szCs w:val="20"/>
              </w:rPr>
              <w:t xml:space="preserve"> 940 (UL947-V0)</w:t>
            </w:r>
            <w:r>
              <w:rPr>
                <w:rFonts w:ascii="Arial" w:hAnsi="Arial" w:cs="Arial"/>
                <w:sz w:val="20"/>
                <w:szCs w:val="20"/>
              </w:rPr>
              <w:br/>
              <w:t xml:space="preserve">Unterteil: </w:t>
            </w:r>
            <w:proofErr w:type="spellStart"/>
            <w:r>
              <w:rPr>
                <w:rFonts w:ascii="Arial" w:hAnsi="Arial" w:cs="Arial"/>
                <w:sz w:val="20"/>
                <w:szCs w:val="20"/>
              </w:rPr>
              <w:t>Noryl</w:t>
            </w:r>
            <w:proofErr w:type="spellEnd"/>
            <w:r>
              <w:rPr>
                <w:rFonts w:ascii="Arial" w:hAnsi="Arial" w:cs="Arial"/>
                <w:sz w:val="20"/>
                <w:szCs w:val="20"/>
              </w:rPr>
              <w:t xml:space="preserve"> VO 1550 (UL947-V0)</w:t>
            </w:r>
          </w:p>
        </w:tc>
      </w:tr>
      <w:tr>
        <w:trPr>
          <w:trHeight w:val="394"/>
        </w:trPr>
        <w:tc>
          <w:tcPr>
            <w:tcW w:w="3306" w:type="dxa"/>
            <w:hideMark/>
          </w:tcPr>
          <w:p>
            <w:pPr>
              <w:pStyle w:val="bodytext"/>
              <w:rPr>
                <w:rFonts w:ascii="Arial" w:hAnsi="Arial" w:cs="Arial"/>
                <w:b/>
                <w:bCs/>
                <w:sz w:val="20"/>
                <w:szCs w:val="20"/>
              </w:rPr>
            </w:pPr>
            <w:r>
              <w:rPr>
                <w:rFonts w:ascii="Arial" w:hAnsi="Arial" w:cs="Arial"/>
                <w:b/>
                <w:bCs/>
                <w:sz w:val="20"/>
                <w:szCs w:val="20"/>
              </w:rPr>
              <w:t>Schutzart:</w:t>
            </w:r>
          </w:p>
        </w:tc>
        <w:tc>
          <w:tcPr>
            <w:tcW w:w="0" w:type="auto"/>
            <w:hideMark/>
          </w:tcPr>
          <w:p>
            <w:pPr>
              <w:pStyle w:val="bodytext"/>
              <w:rPr>
                <w:rFonts w:ascii="Arial" w:hAnsi="Arial" w:cs="Arial"/>
                <w:sz w:val="20"/>
                <w:szCs w:val="20"/>
              </w:rPr>
            </w:pPr>
            <w:r>
              <w:rPr>
                <w:rFonts w:ascii="Arial" w:hAnsi="Arial" w:cs="Arial"/>
                <w:sz w:val="20"/>
                <w:szCs w:val="20"/>
              </w:rPr>
              <w:t>IP20</w:t>
            </w:r>
            <w:hyperlink r:id="rId8" w:tooltip="Öffnet internen Link im aktuellen Fenster" w:history="1">
              <w:r>
                <w:rPr>
                  <w:rFonts w:ascii="Arial" w:hAnsi="Arial" w:cs="Arial"/>
                  <w:sz w:val="20"/>
                  <w:szCs w:val="20"/>
                  <w:u w:val="single"/>
                </w:rPr>
                <w:br/>
              </w:r>
            </w:hyperlink>
          </w:p>
        </w:tc>
      </w:tr>
      <w:tr>
        <w:trPr>
          <w:trHeight w:val="384"/>
        </w:trPr>
        <w:tc>
          <w:tcPr>
            <w:tcW w:w="3306" w:type="dxa"/>
            <w:hideMark/>
          </w:tcPr>
          <w:p>
            <w:pPr>
              <w:pStyle w:val="bodytext"/>
              <w:rPr>
                <w:rFonts w:ascii="Arial" w:hAnsi="Arial" w:cs="Arial"/>
                <w:b/>
                <w:bCs/>
                <w:sz w:val="20"/>
                <w:szCs w:val="20"/>
              </w:rPr>
            </w:pPr>
            <w:r>
              <w:rPr>
                <w:rFonts w:ascii="Arial" w:hAnsi="Arial" w:cs="Arial"/>
                <w:b/>
                <w:bCs/>
                <w:sz w:val="20"/>
                <w:szCs w:val="20"/>
              </w:rPr>
              <w:t>Farbe:</w:t>
            </w:r>
          </w:p>
        </w:tc>
        <w:tc>
          <w:tcPr>
            <w:tcW w:w="0" w:type="auto"/>
            <w:hideMark/>
          </w:tcPr>
          <w:p>
            <w:pPr>
              <w:pStyle w:val="bodytext"/>
              <w:rPr>
                <w:rFonts w:ascii="Arial" w:hAnsi="Arial" w:cs="Arial"/>
                <w:sz w:val="20"/>
                <w:szCs w:val="20"/>
              </w:rPr>
            </w:pPr>
            <w:r>
              <w:rPr>
                <w:rFonts w:ascii="Arial" w:hAnsi="Arial" w:cs="Arial"/>
                <w:sz w:val="20"/>
                <w:szCs w:val="20"/>
              </w:rPr>
              <w:t>Oberteil: grau (ähnlich RAL 7035)</w:t>
            </w:r>
            <w:r>
              <w:rPr>
                <w:rFonts w:ascii="Arial" w:hAnsi="Arial" w:cs="Arial"/>
                <w:sz w:val="20"/>
                <w:szCs w:val="20"/>
              </w:rPr>
              <w:br/>
              <w:t xml:space="preserve">Unterteil: schwarz (ähnlich RAL 7005) </w:t>
            </w:r>
          </w:p>
        </w:tc>
      </w:tr>
      <w:tr>
        <w:trPr>
          <w:trHeight w:val="394"/>
        </w:trPr>
        <w:tc>
          <w:tcPr>
            <w:tcW w:w="3306" w:type="dxa"/>
            <w:hideMark/>
          </w:tcPr>
          <w:p>
            <w:pPr>
              <w:rPr>
                <w:rFonts w:ascii="Arial" w:hAnsi="Arial" w:cs="Arial"/>
                <w:b/>
                <w:bCs/>
                <w:sz w:val="20"/>
                <w:szCs w:val="20"/>
              </w:rPr>
            </w:pPr>
            <w:r>
              <w:rPr>
                <w:rFonts w:ascii="Arial" w:hAnsi="Arial" w:cs="Arial"/>
                <w:b/>
                <w:bCs/>
                <w:sz w:val="20"/>
                <w:szCs w:val="20"/>
              </w:rPr>
              <w:t>Maße:</w:t>
            </w:r>
          </w:p>
        </w:tc>
        <w:tc>
          <w:tcPr>
            <w:tcW w:w="0" w:type="auto"/>
            <w:hideMark/>
          </w:tcPr>
          <w:p>
            <w:pPr>
              <w:pStyle w:val="bodytext"/>
              <w:rPr>
                <w:rFonts w:ascii="Arial" w:hAnsi="Arial" w:cs="Arial"/>
                <w:sz w:val="20"/>
                <w:szCs w:val="20"/>
              </w:rPr>
            </w:pPr>
            <w:r>
              <w:rPr>
                <w:rFonts w:ascii="Arial" w:hAnsi="Arial" w:cs="Arial"/>
                <w:sz w:val="20"/>
                <w:szCs w:val="20"/>
              </w:rPr>
              <w:t xml:space="preserve">Unterteil: </w:t>
            </w:r>
            <w:proofErr w:type="spellStart"/>
            <w:r>
              <w:rPr>
                <w:rFonts w:ascii="Arial" w:hAnsi="Arial" w:cs="Arial"/>
                <w:sz w:val="20"/>
                <w:szCs w:val="20"/>
              </w:rPr>
              <w:t>max</w:t>
            </w:r>
            <w:proofErr w:type="spellEnd"/>
            <w:r>
              <w:rPr>
                <w:rFonts w:ascii="Arial" w:hAnsi="Arial" w:cs="Arial"/>
                <w:sz w:val="20"/>
                <w:szCs w:val="20"/>
              </w:rPr>
              <w:t xml:space="preserve"> Leitungsquerschnitt 2 x 2,5mm²</w:t>
            </w:r>
          </w:p>
        </w:tc>
      </w:tr>
      <w:tr>
        <w:trPr>
          <w:trHeight w:val="188"/>
        </w:trPr>
        <w:tc>
          <w:tcPr>
            <w:tcW w:w="3306" w:type="dxa"/>
            <w:hideMark/>
          </w:tcPr>
          <w:p>
            <w:pPr>
              <w:pStyle w:val="bodytext"/>
              <w:rPr>
                <w:rFonts w:ascii="Arial" w:hAnsi="Arial" w:cs="Arial"/>
                <w:b/>
                <w:bCs/>
                <w:sz w:val="20"/>
                <w:szCs w:val="20"/>
              </w:rPr>
            </w:pPr>
            <w:r>
              <w:rPr>
                <w:rFonts w:ascii="Arial" w:hAnsi="Arial" w:cs="Arial"/>
                <w:b/>
                <w:bCs/>
                <w:sz w:val="20"/>
                <w:szCs w:val="20"/>
              </w:rPr>
              <w:t>Temperaturbereich:</w:t>
            </w:r>
          </w:p>
        </w:tc>
        <w:tc>
          <w:tcPr>
            <w:tcW w:w="0" w:type="auto"/>
            <w:hideMark/>
          </w:tcPr>
          <w:p>
            <w:pPr>
              <w:pStyle w:val="bodytext"/>
              <w:rPr>
                <w:rFonts w:ascii="Arial" w:hAnsi="Arial" w:cs="Arial"/>
                <w:sz w:val="20"/>
                <w:szCs w:val="20"/>
              </w:rPr>
            </w:pPr>
            <w:r>
              <w:rPr>
                <w:rFonts w:ascii="Arial" w:hAnsi="Arial" w:cs="Arial"/>
                <w:sz w:val="20"/>
                <w:szCs w:val="20"/>
              </w:rPr>
              <w:t>max. 100°C</w:t>
            </w:r>
          </w:p>
        </w:tc>
      </w:tr>
      <w:tr>
        <w:trPr>
          <w:trHeight w:val="384"/>
        </w:trPr>
        <w:tc>
          <w:tcPr>
            <w:tcW w:w="3306" w:type="dxa"/>
            <w:hideMark/>
          </w:tcPr>
          <w:p>
            <w:pPr>
              <w:pStyle w:val="bodytext"/>
              <w:rPr>
                <w:rFonts w:ascii="Arial" w:hAnsi="Arial" w:cs="Arial"/>
                <w:b/>
                <w:bCs/>
                <w:sz w:val="20"/>
                <w:szCs w:val="20"/>
              </w:rPr>
            </w:pPr>
            <w:r>
              <w:rPr>
                <w:rFonts w:ascii="Arial" w:hAnsi="Arial" w:cs="Arial"/>
                <w:b/>
                <w:bCs/>
                <w:sz w:val="20"/>
                <w:szCs w:val="20"/>
              </w:rPr>
              <w:t>Modifikationen:</w:t>
            </w:r>
          </w:p>
        </w:tc>
        <w:tc>
          <w:tcPr>
            <w:tcW w:w="0" w:type="auto"/>
            <w:hideMark/>
          </w:tcPr>
          <w:p>
            <w:pPr>
              <w:pStyle w:val="bodytext"/>
              <w:rPr>
                <w:rFonts w:ascii="Arial" w:hAnsi="Arial" w:cs="Arial"/>
                <w:sz w:val="20"/>
                <w:szCs w:val="20"/>
              </w:rPr>
            </w:pPr>
            <w:r>
              <w:rPr>
                <w:rFonts w:ascii="Arial" w:hAnsi="Arial" w:cs="Arial"/>
                <w:sz w:val="20"/>
                <w:szCs w:val="20"/>
              </w:rPr>
              <w:t>passende</w:t>
            </w:r>
            <w:hyperlink r:id="rId9" w:tooltip="Öffnet internen Link im aktuellen Fenster" w:history="1">
              <w:r>
                <w:rPr>
                  <w:rStyle w:val="Hyperlink"/>
                  <w:b w:val="0"/>
                  <w:bCs w:val="0"/>
                  <w:color w:val="auto"/>
                </w:rPr>
                <w:t xml:space="preserve"> Folientastaturen</w:t>
              </w:r>
            </w:hyperlink>
            <w:r>
              <w:rPr>
                <w:rFonts w:ascii="Arial" w:hAnsi="Arial" w:cs="Arial"/>
                <w:b/>
                <w:bCs/>
                <w:sz w:val="20"/>
                <w:szCs w:val="20"/>
              </w:rPr>
              <w:t xml:space="preserve">, </w:t>
            </w:r>
            <w:hyperlink r:id="rId10" w:tooltip="Öffnet internen Link im aktuellen Fenster" w:history="1">
              <w:r>
                <w:rPr>
                  <w:rStyle w:val="Hyperlink"/>
                  <w:b w:val="0"/>
                  <w:bCs w:val="0"/>
                  <w:color w:val="auto"/>
                </w:rPr>
                <w:t>mechanische Bearbeitung</w:t>
              </w:r>
            </w:hyperlink>
            <w:r>
              <w:rPr>
                <w:rFonts w:ascii="Arial" w:hAnsi="Arial" w:cs="Arial"/>
                <w:b/>
                <w:bCs/>
                <w:sz w:val="20"/>
                <w:szCs w:val="20"/>
              </w:rPr>
              <w:t xml:space="preserve">, </w:t>
            </w:r>
            <w:hyperlink r:id="rId11" w:tgtFrame="_blank" w:tooltip="Öffnet externen Link in neuem Fenster" w:history="1">
              <w:r>
                <w:rPr>
                  <w:rStyle w:val="Hyperlink"/>
                  <w:b w:val="0"/>
                  <w:bCs w:val="0"/>
                  <w:color w:val="auto"/>
                </w:rPr>
                <w:t>Eingabesysteme</w:t>
              </w:r>
            </w:hyperlink>
            <w:r>
              <w:rPr>
                <w:rFonts w:ascii="Arial" w:hAnsi="Arial" w:cs="Arial"/>
                <w:b/>
                <w:bCs/>
                <w:sz w:val="20"/>
                <w:szCs w:val="20"/>
              </w:rPr>
              <w:t xml:space="preserve">, </w:t>
            </w:r>
            <w:hyperlink r:id="rId12" w:tooltip="Öffnet internen Link im aktuellen Fenster" w:history="1">
              <w:r>
                <w:rPr>
                  <w:rStyle w:val="Hyperlink"/>
                  <w:b w:val="0"/>
                  <w:bCs w:val="0"/>
                  <w:color w:val="auto"/>
                </w:rPr>
                <w:t>Oberflächenveredelung</w:t>
              </w:r>
            </w:hyperlink>
            <w:r>
              <w:rPr>
                <w:rFonts w:ascii="Arial" w:hAnsi="Arial" w:cs="Arial"/>
                <w:sz w:val="20"/>
                <w:szCs w:val="20"/>
              </w:rPr>
              <w:t xml:space="preserve"> (EMV, ESD, MED, ...) uvm. sind jederzeit möglich</w:t>
            </w:r>
          </w:p>
        </w:tc>
      </w:tr>
      <w:tr>
        <w:trPr>
          <w:trHeight w:val="394"/>
        </w:trPr>
        <w:tc>
          <w:tcPr>
            <w:tcW w:w="3306" w:type="dxa"/>
            <w:hideMark/>
          </w:tcPr>
          <w:p>
            <w:pPr>
              <w:pStyle w:val="bodytext"/>
              <w:rPr>
                <w:rFonts w:ascii="Arial" w:hAnsi="Arial" w:cs="Arial"/>
                <w:b/>
                <w:bCs/>
                <w:sz w:val="20"/>
                <w:szCs w:val="20"/>
              </w:rPr>
            </w:pPr>
            <w:r>
              <w:rPr>
                <w:rFonts w:ascii="Arial" w:hAnsi="Arial" w:cs="Arial"/>
                <w:b/>
                <w:bCs/>
                <w:sz w:val="20"/>
                <w:szCs w:val="20"/>
              </w:rPr>
              <w:t>Besonderheit:</w:t>
            </w:r>
          </w:p>
        </w:tc>
        <w:tc>
          <w:tcPr>
            <w:tcW w:w="0" w:type="auto"/>
            <w:hideMark/>
          </w:tcPr>
          <w:p>
            <w:pPr>
              <w:rPr>
                <w:rFonts w:ascii="Arial" w:hAnsi="Arial" w:cs="Arial"/>
                <w:sz w:val="20"/>
                <w:szCs w:val="20"/>
              </w:rPr>
            </w:pPr>
            <w:r>
              <w:rPr>
                <w:rFonts w:ascii="Arial" w:hAnsi="Arial" w:cs="Arial"/>
                <w:sz w:val="20"/>
                <w:szCs w:val="20"/>
              </w:rPr>
              <w:t>Unterteil: Klemmen 36 schraub- oder steckbar</w:t>
            </w:r>
          </w:p>
        </w:tc>
      </w:tr>
    </w:tbl>
    <w:p>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Die Richard Wöhr GmbH mit Sitz in Höfen an der Enz erweitert Ihr Produktprogramm um die Gehäuseserie 1050 LOW – ein Modulgehäuse für M36-DIN-Normschienen. Absoluter Vorteil der Hutschienengehäuse-Serie ist die sehr flache Bauform von 27,9 mm. Weiterer Vorteil, durch ein einfaches Einrastverfahren wird eine deutliche Reduzierung des Montageaufwandes gegeben, folglich schnell und kostengünstig. </w:t>
      </w:r>
      <w:r>
        <w:rPr>
          <w:rFonts w:ascii="Arial" w:eastAsia="Times New Roman" w:hAnsi="Arial" w:cs="Arial"/>
          <w:lang w:eastAsia="de-DE"/>
        </w:rPr>
        <w:t>Die Leergehäuse sind in mehreren Farben und mit kundenspezifischer Bearbeitung und Beschriftungen erhältlich.</w:t>
      </w:r>
      <w:r>
        <w:rPr>
          <w:rFonts w:ascii="Arial" w:eastAsia="Times New Roman" w:hAnsi="Arial" w:cs="Arial"/>
          <w:lang w:eastAsia="de-DE"/>
        </w:rPr>
        <w:br/>
        <w:t>Lesen Sie hier weitere Technische Details:</w:t>
      </w:r>
    </w:p>
    <w:p>
      <w:pPr>
        <w:spacing w:before="100" w:beforeAutospacing="1" w:after="100" w:afterAutospacing="1" w:line="240" w:lineRule="auto"/>
        <w:rPr>
          <w:rFonts w:ascii="Arial" w:hAnsi="Arial" w:cs="Arial"/>
        </w:rPr>
      </w:pPr>
    </w:p>
    <w:p>
      <w:pPr>
        <w:spacing w:before="100" w:beforeAutospacing="1" w:after="100" w:afterAutospacing="1" w:line="240" w:lineRule="auto"/>
        <w:rPr>
          <w:rFonts w:ascii="Arial" w:hAnsi="Arial" w:cs="Arial"/>
        </w:rPr>
      </w:pPr>
    </w:p>
    <w:p>
      <w:pPr>
        <w:spacing w:before="100" w:beforeAutospacing="1" w:after="100" w:afterAutospacing="1" w:line="240" w:lineRule="auto"/>
        <w:rPr>
          <w:rFonts w:ascii="Arial" w:hAnsi="Arial" w:cs="Arial"/>
          <w:b/>
          <w:bCs/>
          <w:color w:val="009DA2"/>
        </w:rPr>
      </w:pPr>
      <w:r>
        <w:rPr>
          <w:rFonts w:ascii="Arial" w:hAnsi="Arial" w:cs="Arial"/>
        </w:rPr>
        <w:t>Weitere Informationen finden Sie unter:</w:t>
      </w:r>
      <w:r>
        <w:rPr>
          <w:rFonts w:ascii="Arial" w:hAnsi="Arial" w:cs="Arial"/>
        </w:rPr>
        <w:br/>
      </w:r>
      <w:r>
        <w:rPr>
          <w:rFonts w:ascii="Arial" w:hAnsi="Arial" w:cs="Arial"/>
          <w:b/>
          <w:bCs/>
          <w:color w:val="009DA2"/>
        </w:rPr>
        <w:t>https://www.industriegehaeuse.de/kunststoff-gehaeuse/modulgehaeuse/serie-1050-low/</w:t>
      </w: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Style w:val="Hyperlink"/>
          <w:color w:val="009DA2"/>
          <w:sz w:val="22"/>
          <w:szCs w:val="22"/>
        </w:rPr>
      </w:pPr>
      <w:hyperlink r:id="rId13"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pPr>
    </w:p>
    <w:p>
      <w:pPr>
        <w:spacing w:after="0" w:line="360" w:lineRule="auto"/>
        <w:contextualSpacing/>
        <w:jc w:val="both"/>
      </w:pPr>
      <w:r>
        <w:rPr>
          <w:rFonts w:ascii="Arial" w:hAnsi="Arial" w:cs="Arial"/>
          <w:b/>
          <w:noProof/>
          <w:spacing w:val="1"/>
        </w:rPr>
        <w:drawing>
          <wp:anchor distT="0" distB="0" distL="114300" distR="114300" simplePos="0" relativeHeight="251664384" behindDoc="1" locked="0" layoutInCell="1" allowOverlap="1">
            <wp:simplePos x="0" y="0"/>
            <wp:positionH relativeFrom="column">
              <wp:posOffset>365855</wp:posOffset>
            </wp:positionH>
            <wp:positionV relativeFrom="paragraph">
              <wp:posOffset>109184</wp:posOffset>
            </wp:positionV>
            <wp:extent cx="5244465" cy="3061970"/>
            <wp:effectExtent l="0" t="0" r="0" b="431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16741" b="84593" l="9989" r="89678">
                                  <a14:foregroundMark x1="53274" y1="20148" x2="66371" y2="16889"/>
                                  <a14:foregroundMark x1="66371" y1="16889" x2="60710" y2="19704"/>
                                  <a14:foregroundMark x1="48058" y1="79704" x2="35516" y2="84593"/>
                                  <a14:foregroundMark x1="35516" y1="84593" x2="24983" y2="71538"/>
                                  <a14:foregroundMark x1="24897" y1="71610" x2="28857" y2="76593"/>
                                  <a14:foregroundMark x1="28857" y1="76593" x2="38402" y2="80889"/>
                                  <a14:foregroundMark x1="60488" y1="19259" x2="56382" y2="19556"/>
                                  <a14:foregroundMark x1="56271" y1="20000" x2="56937" y2="18963"/>
                                  <a14:foregroundMark x1="65372" y1="16741" x2="65372" y2="18519"/>
                                  <a14:foregroundMark x1="55938" y1="20148" x2="55494" y2="19407"/>
                                  <a14:foregroundMark x1="52830" y1="21481" x2="58602" y2="18815"/>
                                  <a14:foregroundMark x1="65261" y1="17778" x2="71809" y2="24593"/>
                                  <a14:backgroundMark x1="60377" y1="75259" x2="61154" y2="75407"/>
                                  <a14:backgroundMark x1="17980" y1="62963" x2="21643" y2="68000"/>
                                  <a14:backgroundMark x1="17647" y1="62815" x2="17647" y2="62815"/>
                                  <a14:backgroundMark x1="18313" y1="62519" x2="17092" y2="62667"/>
                                  <a14:backgroundMark x1="21643" y1="67852" x2="24084" y2="72296"/>
                                  <a14:backgroundMark x1="14539" y1="59259" x2="17536" y2="62667"/>
                                  <a14:backgroundMark x1="15205" y1="63556" x2="18313" y2="62370"/>
                                </a14:backgroundRemoval>
                              </a14:imgEffect>
                            </a14:imgLayer>
                          </a14:imgProps>
                        </a:ext>
                        <a:ext uri="{28A0092B-C50C-407E-A947-70E740481C1C}">
                          <a14:useLocalDpi xmlns:a14="http://schemas.microsoft.com/office/drawing/2010/main" val="0"/>
                        </a:ext>
                      </a:extLst>
                    </a:blip>
                    <a:srcRect t="11059" b="10900"/>
                    <a:stretch/>
                  </pic:blipFill>
                  <pic:spPr bwMode="auto">
                    <a:xfrm>
                      <a:off x="0" y="0"/>
                      <a:ext cx="5244465" cy="3061970"/>
                    </a:xfrm>
                    <a:prstGeom prst="rect">
                      <a:avLst/>
                    </a:prstGeom>
                    <a:no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E-Mail: </w:t>
      </w:r>
      <w:hyperlink r:id="rId16" w:history="1">
        <w:r>
          <w:rPr>
            <w:rStyle w:val="Hyperlink"/>
            <w:color w:val="009DA2"/>
            <w:spacing w:val="1"/>
            <w:sz w:val="18"/>
            <w:szCs w:val="16"/>
          </w:rPr>
          <w:t>Marketing@WoehrGmbH.de</w:t>
        </w:r>
      </w:hyperlink>
    </w:p>
    <w:sectPr>
      <w:headerReference w:type="default" r:id="rId17"/>
      <w:pgSz w:w="11906" w:h="16838"/>
      <w:pgMar w:top="2694" w:right="1983"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4"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9155">
      <w:bodyDiv w:val="1"/>
      <w:marLeft w:val="0"/>
      <w:marRight w:val="0"/>
      <w:marTop w:val="0"/>
      <w:marBottom w:val="0"/>
      <w:divBdr>
        <w:top w:val="none" w:sz="0" w:space="0" w:color="auto"/>
        <w:left w:val="none" w:sz="0" w:space="0" w:color="auto"/>
        <w:bottom w:val="none" w:sz="0" w:space="0" w:color="auto"/>
        <w:right w:val="none" w:sz="0" w:space="0" w:color="auto"/>
      </w:divBdr>
    </w:div>
    <w:div w:id="554119458">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ustriegehaeuse.de/de/unternehmen/schutzarten/" TargetMode="External"/><Relationship Id="rId13" Type="http://schemas.openxmlformats.org/officeDocument/2006/relationships/hyperlink" Target="http://www.WoehrGmbH.de/de/aktuelles-presse/presse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ustriegehaeuse.de/unternehmen/oberflaech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eting@WoehrGmb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ehrgmbh.de/de/produkte/eingabesysteme/"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www.industriegehaeuse.de/unternehmen/bearbeit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dustriegehaeuse.de/unternehmen/standardtastaturen/"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Ihr Benutzername</dc:creator>
  <cp:lastModifiedBy>Jacqueline Thumm</cp:lastModifiedBy>
  <cp:revision>9</cp:revision>
  <cp:lastPrinted>2021-08-25T11:44:00Z</cp:lastPrinted>
  <dcterms:created xsi:type="dcterms:W3CDTF">2021-07-05T13:48:00Z</dcterms:created>
  <dcterms:modified xsi:type="dcterms:W3CDTF">2021-08-25T11:44:00Z</dcterms:modified>
</cp:coreProperties>
</file>