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8B6903">
        <w:rPr>
          <w:rFonts w:ascii="Arial" w:hAnsi="Arial" w:cs="Arial"/>
          <w:b/>
          <w:spacing w:val="1"/>
          <w:sz w:val="28"/>
          <w:szCs w:val="28"/>
        </w:rPr>
        <w:t>10</w:t>
      </w:r>
      <w:r w:rsidR="00EB5698" w:rsidRPr="0057153A">
        <w:rPr>
          <w:rFonts w:ascii="Arial" w:hAnsi="Arial" w:cs="Arial"/>
          <w:b/>
          <w:spacing w:val="1"/>
          <w:sz w:val="28"/>
          <w:szCs w:val="28"/>
        </w:rPr>
        <w:t>.</w:t>
      </w:r>
      <w:r w:rsidR="008B6903">
        <w:rPr>
          <w:rFonts w:ascii="Arial" w:hAnsi="Arial" w:cs="Arial"/>
          <w:b/>
          <w:spacing w:val="1"/>
          <w:sz w:val="28"/>
          <w:szCs w:val="28"/>
        </w:rPr>
        <w:t>04</w:t>
      </w:r>
      <w:r w:rsidR="007625C8" w:rsidRPr="0057153A">
        <w:rPr>
          <w:rFonts w:ascii="Arial" w:hAnsi="Arial" w:cs="Arial"/>
          <w:b/>
          <w:spacing w:val="1"/>
          <w:sz w:val="28"/>
          <w:szCs w:val="28"/>
        </w:rPr>
        <w:t>.20</w:t>
      </w:r>
      <w:r w:rsidR="00730F8A">
        <w:rPr>
          <w:rFonts w:ascii="Arial" w:hAnsi="Arial" w:cs="Arial"/>
          <w:b/>
          <w:spacing w:val="1"/>
          <w:sz w:val="28"/>
          <w:szCs w:val="28"/>
        </w:rPr>
        <w:t>15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Pr="00DB3FF3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 xml:space="preserve">® </w:t>
      </w:r>
      <w:r w:rsidR="00730F8A">
        <w:rPr>
          <w:rFonts w:ascii="Arial" w:hAnsi="Arial" w:cs="Arial"/>
          <w:sz w:val="28"/>
          <w:szCs w:val="28"/>
        </w:rPr>
        <w:t>erweitert</w:t>
      </w:r>
      <w:r w:rsidR="00EE5875">
        <w:rPr>
          <w:rFonts w:ascii="Arial" w:hAnsi="Arial" w:cs="Arial"/>
          <w:sz w:val="28"/>
          <w:szCs w:val="28"/>
        </w:rPr>
        <w:t xml:space="preserve"> sein</w:t>
      </w:r>
      <w:r w:rsidR="008B6903">
        <w:rPr>
          <w:rFonts w:ascii="Arial" w:hAnsi="Arial" w:cs="Arial"/>
          <w:sz w:val="28"/>
          <w:szCs w:val="28"/>
        </w:rPr>
        <w:t xml:space="preserve"> Sortiment</w:t>
      </w:r>
      <w:r w:rsidR="00B913E5">
        <w:rPr>
          <w:rFonts w:ascii="Arial" w:hAnsi="Arial" w:cs="Arial"/>
          <w:sz w:val="28"/>
          <w:szCs w:val="28"/>
        </w:rPr>
        <w:t xml:space="preserve"> um</w:t>
      </w:r>
      <w:r w:rsidR="008B6903">
        <w:rPr>
          <w:rFonts w:ascii="Arial" w:hAnsi="Arial" w:cs="Arial"/>
          <w:sz w:val="28"/>
          <w:szCs w:val="28"/>
        </w:rPr>
        <w:t xml:space="preserve"> Aluminium Gehäuse</w:t>
      </w:r>
      <w:r w:rsidR="00B913E5">
        <w:rPr>
          <w:rFonts w:ascii="Arial" w:hAnsi="Arial" w:cs="Arial"/>
          <w:sz w:val="28"/>
          <w:szCs w:val="28"/>
        </w:rPr>
        <w:t xml:space="preserve"> in </w:t>
      </w:r>
      <w:r w:rsidR="00B913E5" w:rsidRPr="00DB3FF3">
        <w:rPr>
          <w:rFonts w:ascii="Arial" w:hAnsi="Arial" w:cs="Arial"/>
          <w:sz w:val="28"/>
          <w:szCs w:val="28"/>
        </w:rPr>
        <w:t>IP67</w:t>
      </w:r>
    </w:p>
    <w:p w:rsidR="00EB5698" w:rsidRPr="00DB3FF3" w:rsidRDefault="002F208C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DB3FF3">
        <w:rPr>
          <w:rFonts w:ascii="Arial" w:hAnsi="Arial" w:cs="Arial"/>
          <w:sz w:val="22"/>
          <w:szCs w:val="22"/>
        </w:rPr>
        <w:t>Robuste Industriegehäuse mit und ohne angegossenen Wandlaschen</w:t>
      </w:r>
      <w:r w:rsidR="00730F8A" w:rsidRPr="00DB3FF3">
        <w:rPr>
          <w:rFonts w:ascii="Arial" w:hAnsi="Arial" w:cs="Arial"/>
          <w:sz w:val="22"/>
          <w:szCs w:val="22"/>
        </w:rPr>
        <w:t>.</w:t>
      </w:r>
      <w:r w:rsidR="00766A07" w:rsidRPr="00DB3FF3">
        <w:rPr>
          <w:rFonts w:ascii="Arial" w:hAnsi="Arial" w:cs="Arial"/>
          <w:sz w:val="28"/>
          <w:szCs w:val="28"/>
        </w:rPr>
        <w:t xml:space="preserve">  </w:t>
      </w:r>
    </w:p>
    <w:p w:rsidR="00E371BE" w:rsidRPr="00106AA8" w:rsidRDefault="00EB5698" w:rsidP="00E37689">
      <w:pPr>
        <w:spacing w:after="0"/>
        <w:jc w:val="both"/>
        <w:rPr>
          <w:rFonts w:ascii="Arial" w:hAnsi="Arial" w:cs="Arial"/>
          <w:strike/>
        </w:rPr>
      </w:pPr>
      <w:r w:rsidRPr="008D45D8">
        <w:rPr>
          <w:rFonts w:ascii="Arial" w:hAnsi="Arial" w:cs="Arial"/>
        </w:rPr>
        <w:t>D</w:t>
      </w:r>
      <w:r w:rsidR="00360BEA">
        <w:rPr>
          <w:rFonts w:ascii="Arial" w:hAnsi="Arial" w:cs="Arial"/>
        </w:rPr>
        <w:t xml:space="preserve">ie Richard Wöhr GmbH </w:t>
      </w:r>
      <w:r w:rsidR="002F208C">
        <w:rPr>
          <w:rFonts w:ascii="Arial" w:hAnsi="Arial" w:cs="Arial"/>
        </w:rPr>
        <w:t>ergänzt</w:t>
      </w:r>
      <w:r w:rsidR="00360BEA">
        <w:rPr>
          <w:rFonts w:ascii="Arial" w:hAnsi="Arial" w:cs="Arial"/>
        </w:rPr>
        <w:t xml:space="preserve"> ihr</w:t>
      </w:r>
      <w:r w:rsidR="00B913E5">
        <w:rPr>
          <w:rFonts w:ascii="Arial" w:hAnsi="Arial" w:cs="Arial"/>
        </w:rPr>
        <w:t xml:space="preserve">e </w:t>
      </w:r>
      <w:r w:rsidR="002F208C">
        <w:rPr>
          <w:rFonts w:ascii="Arial" w:hAnsi="Arial" w:cs="Arial"/>
        </w:rPr>
        <w:t>bereits seit mehreren Jahren</w:t>
      </w:r>
      <w:r w:rsidR="00D817FE">
        <w:rPr>
          <w:rFonts w:ascii="Arial" w:hAnsi="Arial" w:cs="Arial"/>
        </w:rPr>
        <w:t xml:space="preserve"> etablierte A</w:t>
      </w:r>
      <w:r w:rsidR="002B70CA">
        <w:rPr>
          <w:rFonts w:ascii="Arial" w:hAnsi="Arial" w:cs="Arial"/>
        </w:rPr>
        <w:t xml:space="preserve">luminiumgehäuse-Serie AL001 um Ausführungen in einer weiteren Schutzart. </w:t>
      </w:r>
      <w:r w:rsidR="00106AA8">
        <w:rPr>
          <w:rFonts w:ascii="Arial" w:hAnsi="Arial" w:cs="Arial"/>
        </w:rPr>
        <w:t>Zu haben sind die Gehäuse</w:t>
      </w:r>
      <w:r w:rsidR="002F208C">
        <w:rPr>
          <w:rFonts w:ascii="Arial" w:hAnsi="Arial" w:cs="Arial"/>
        </w:rPr>
        <w:t xml:space="preserve"> in vielen verschiedenen Größen sowie</w:t>
      </w:r>
      <w:r w:rsidR="00106AA8">
        <w:rPr>
          <w:rFonts w:ascii="Arial" w:hAnsi="Arial" w:cs="Arial"/>
        </w:rPr>
        <w:t xml:space="preserve"> mit und ohne angegossene </w:t>
      </w:r>
      <w:r w:rsidR="002F208C">
        <w:rPr>
          <w:rFonts w:ascii="Arial" w:hAnsi="Arial" w:cs="Arial"/>
        </w:rPr>
        <w:t xml:space="preserve">Wandlaschen. </w:t>
      </w:r>
      <w:r w:rsidR="00106AA8" w:rsidRPr="002F208C">
        <w:rPr>
          <w:rFonts w:ascii="Arial" w:hAnsi="Arial" w:cs="Arial"/>
        </w:rPr>
        <w:t>Eine umlaufend</w:t>
      </w:r>
      <w:r w:rsidR="002F208C">
        <w:rPr>
          <w:rFonts w:ascii="Arial" w:hAnsi="Arial" w:cs="Arial"/>
        </w:rPr>
        <w:t>e Rundschnurd</w:t>
      </w:r>
      <w:r w:rsidR="00106AA8" w:rsidRPr="002F208C">
        <w:rPr>
          <w:rFonts w:ascii="Arial" w:hAnsi="Arial" w:cs="Arial"/>
        </w:rPr>
        <w:t xml:space="preserve">ichtung </w:t>
      </w:r>
      <w:r w:rsidR="002B70CA">
        <w:rPr>
          <w:rFonts w:ascii="Arial" w:hAnsi="Arial" w:cs="Arial"/>
        </w:rPr>
        <w:t xml:space="preserve">schützt das Innenleben des Gehäuses vor Staub und Feuchtigkeit bis </w:t>
      </w:r>
      <w:r w:rsidR="00106AA8" w:rsidRPr="002F208C">
        <w:rPr>
          <w:rFonts w:ascii="Arial" w:hAnsi="Arial" w:cs="Arial"/>
        </w:rPr>
        <w:t>IP67.</w:t>
      </w:r>
      <w:r w:rsidR="00DB3FF3">
        <w:rPr>
          <w:rFonts w:ascii="Arial" w:hAnsi="Arial" w:cs="Arial"/>
        </w:rPr>
        <w:t xml:space="preserve"> Die Gehäuse werden</w:t>
      </w:r>
      <w:r w:rsidR="00563F40">
        <w:rPr>
          <w:rFonts w:ascii="Arial" w:hAnsi="Arial" w:cs="Arial"/>
        </w:rPr>
        <w:t xml:space="preserve"> inklusive</w:t>
      </w:r>
      <w:r w:rsidR="00DB3FF3">
        <w:rPr>
          <w:rFonts w:ascii="Arial" w:hAnsi="Arial" w:cs="Arial"/>
        </w:rPr>
        <w:t xml:space="preserve"> montiert</w:t>
      </w:r>
      <w:r w:rsidR="00563F40">
        <w:rPr>
          <w:rFonts w:ascii="Arial" w:hAnsi="Arial" w:cs="Arial"/>
        </w:rPr>
        <w:t>er Dichtung</w:t>
      </w:r>
      <w:r w:rsidR="00DB3FF3">
        <w:rPr>
          <w:rFonts w:ascii="Arial" w:hAnsi="Arial" w:cs="Arial"/>
        </w:rPr>
        <w:t xml:space="preserve"> geliefert.</w:t>
      </w:r>
      <w:r w:rsidR="002B70CA">
        <w:rPr>
          <w:rFonts w:ascii="Arial" w:hAnsi="Arial" w:cs="Arial"/>
        </w:rPr>
        <w:t xml:space="preserve"> Die Bohrungen zur Befestigung der Variante mit angegossenen Wandlaschen, befinden sich außerhalb des abgedichteten Innenlebens.</w:t>
      </w:r>
      <w:r w:rsidR="00106AA8" w:rsidRPr="002F208C">
        <w:rPr>
          <w:rFonts w:ascii="Arial" w:hAnsi="Arial" w:cs="Arial"/>
        </w:rPr>
        <w:t xml:space="preserve"> </w:t>
      </w:r>
      <w:r w:rsidR="002B70CA">
        <w:rPr>
          <w:rFonts w:ascii="Arial" w:hAnsi="Arial" w:cs="Arial"/>
        </w:rPr>
        <w:t>Diese Serie eignet sich auf Grund ihrer Robustheit für den industriellen Einsatz sowie für empfindliche elektronische, pneumatische und hydraulische Steuerungen</w:t>
      </w:r>
      <w:r w:rsidR="009252FD">
        <w:rPr>
          <w:rFonts w:ascii="Arial" w:hAnsi="Arial" w:cs="Arial"/>
        </w:rPr>
        <w:t xml:space="preserve">. Je nach Kundenwunsch können die </w:t>
      </w:r>
      <w:r w:rsidR="00980FAE">
        <w:rPr>
          <w:rFonts w:ascii="Arial" w:hAnsi="Arial" w:cs="Arial"/>
        </w:rPr>
        <w:t xml:space="preserve">Gehäuse roh, lackiert oder gepulvert geliefert werden. Zusätzlich zur </w:t>
      </w:r>
      <w:r w:rsidR="00563F40">
        <w:rPr>
          <w:rFonts w:ascii="Arial" w:hAnsi="Arial" w:cs="Arial"/>
        </w:rPr>
        <w:t>individuellen</w:t>
      </w:r>
      <w:bookmarkStart w:id="0" w:name="_GoBack"/>
      <w:bookmarkEnd w:id="0"/>
      <w:r w:rsidR="00980FAE">
        <w:rPr>
          <w:rFonts w:ascii="Arial" w:hAnsi="Arial" w:cs="Arial"/>
        </w:rPr>
        <w:t xml:space="preserve"> Oberfläche, bietet Wöhr® auch eine mechanische Bearbeitung an.</w:t>
      </w:r>
    </w:p>
    <w:p w:rsidR="00EB5698" w:rsidRPr="005001F3" w:rsidRDefault="0073734C" w:rsidP="005001F3">
      <w:pPr>
        <w:spacing w:after="0"/>
        <w:jc w:val="both"/>
        <w:rPr>
          <w:rFonts w:ascii="Arial" w:hAnsi="Arial" w:cs="Arial"/>
          <w:strike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4"/>
        <w:gridCol w:w="6240"/>
      </w:tblGrid>
      <w:tr w:rsidR="009252FD" w:rsidRPr="0057153A" w:rsidTr="009252FD">
        <w:tc>
          <w:tcPr>
            <w:tcW w:w="2259" w:type="dxa"/>
            <w:tcBorders>
              <w:left w:val="single" w:sz="4" w:space="0" w:color="auto"/>
            </w:tcBorders>
          </w:tcPr>
          <w:p w:rsidR="00EB5698" w:rsidRPr="005001F3" w:rsidRDefault="005001F3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5995" w:type="dxa"/>
            <w:tcBorders>
              <w:right w:val="nil"/>
            </w:tcBorders>
          </w:tcPr>
          <w:p w:rsidR="00EB5698" w:rsidRPr="005001F3" w:rsidRDefault="000B0DA1" w:rsidP="00EB5698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  <w:r w:rsidR="005001F3" w:rsidRPr="005001F3">
              <w:rPr>
                <w:rFonts w:ascii="Arial" w:hAnsi="Arial" w:cs="Arial"/>
              </w:rPr>
              <w:t xml:space="preserve"> </w:t>
            </w:r>
            <w:r w:rsidR="009252FD">
              <w:rPr>
                <w:rFonts w:ascii="Arial" w:hAnsi="Arial" w:cs="Arial"/>
              </w:rPr>
              <w:t>roh</w:t>
            </w:r>
            <w:r w:rsidR="00EB5698" w:rsidRPr="005001F3">
              <w:rPr>
                <w:rFonts w:ascii="Arial" w:hAnsi="Arial" w:cs="Arial"/>
              </w:rPr>
              <w:t xml:space="preserve"> 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Schutzart:</w:t>
            </w:r>
          </w:p>
        </w:tc>
        <w:tc>
          <w:tcPr>
            <w:tcW w:w="0" w:type="auto"/>
            <w:hideMark/>
          </w:tcPr>
          <w:p w:rsidR="005001F3" w:rsidRPr="005001F3" w:rsidRDefault="000B0DA1" w:rsidP="000B0DA1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geschlossen: IP 65 und IP 67</w:t>
            </w:r>
            <w:r w:rsidR="005001F3" w:rsidRPr="005001F3">
              <w:rPr>
                <w:rFonts w:ascii="Arial" w:hAnsi="Arial" w:cs="Arial"/>
              </w:rPr>
              <w:t xml:space="preserve"> </w:t>
            </w:r>
            <w:hyperlink r:id="rId9" w:tooltip="Öffnet internen Link im aktuellen Fenster" w:history="1">
              <w:r w:rsidR="005001F3" w:rsidRPr="005001F3">
                <w:rPr>
                  <w:rFonts w:ascii="Arial" w:hAnsi="Arial" w:cs="Arial"/>
                  <w:bCs/>
                </w:rPr>
                <w:t xml:space="preserve">- nach VDE 0470/ </w:t>
              </w:r>
              <w:r w:rsidR="005001F3" w:rsidRPr="005001F3">
                <w:rPr>
                  <w:rFonts w:ascii="Arial" w:hAnsi="Arial" w:cs="Arial"/>
                </w:rPr>
                <w:br/>
              </w:r>
              <w:r w:rsidR="005001F3" w:rsidRPr="005001F3">
                <w:rPr>
                  <w:rFonts w:ascii="Arial" w:hAnsi="Arial" w:cs="Arial"/>
                  <w:bCs/>
                </w:rPr>
                <w:t xml:space="preserve">DIN 40050/ EN 60529 </w:t>
              </w:r>
            </w:hyperlink>
            <w:r w:rsidR="005001F3" w:rsidRPr="005001F3">
              <w:rPr>
                <w:rFonts w:ascii="Arial" w:hAnsi="Arial" w:cs="Arial"/>
              </w:rPr>
              <w:br/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  <w:hideMark/>
          </w:tcPr>
          <w:p w:rsidR="005001F3" w:rsidRPr="005001F3" w:rsidRDefault="000B0DA1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 oder kundenspezifisch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In </w:t>
            </w:r>
            <w:r w:rsidR="000B0DA1">
              <w:rPr>
                <w:rFonts w:ascii="Arial" w:hAnsi="Arial" w:cs="Arial"/>
              </w:rPr>
              <w:t>verschiedenen Größen , mit und ohne Wandlaschen</w:t>
            </w:r>
            <w:r w:rsidR="00B63FB3">
              <w:rPr>
                <w:rFonts w:ascii="Arial" w:hAnsi="Arial" w:cs="Arial"/>
              </w:rPr>
              <w:t xml:space="preserve"> sowie</w:t>
            </w:r>
            <w:r w:rsidR="000B0DA1">
              <w:rPr>
                <w:rFonts w:ascii="Arial" w:hAnsi="Arial" w:cs="Arial"/>
              </w:rPr>
              <w:t xml:space="preserve"> in weiteren Farben erhältlich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Modifikationen:</w:t>
            </w:r>
          </w:p>
        </w:tc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passende</w:t>
            </w:r>
            <w:hyperlink r:id="rId10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 xml:space="preserve"> Folientastaturen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1" w:tooltip="Öffnet internen Link im aktuellen Fenster" w:history="1">
              <w:r w:rsidRPr="005001F3">
                <w:rPr>
                  <w:rFonts w:ascii="Arial" w:hAnsi="Arial" w:cs="Arial"/>
                  <w:bCs/>
                </w:rPr>
                <w:t>mechanische Bearbeitung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2" w:tgtFrame="_blank" w:tooltip="Öffnet externen Link in neuem Fenster" w:history="1">
              <w:r w:rsidRPr="005001F3">
                <w:rPr>
                  <w:rFonts w:ascii="Arial" w:hAnsi="Arial" w:cs="Arial"/>
                  <w:bCs/>
                </w:rPr>
                <w:t>Eingabesysteme</w:t>
              </w:r>
            </w:hyperlink>
            <w:r w:rsidRPr="005001F3">
              <w:rPr>
                <w:rFonts w:ascii="Arial" w:hAnsi="Arial" w:cs="Arial"/>
              </w:rPr>
              <w:t xml:space="preserve">, </w:t>
            </w:r>
            <w:hyperlink r:id="rId13" w:tooltip="Öffnet internen Link im aktuellen Fenster" w:history="1">
              <w:r w:rsidR="00B6309D">
                <w:rPr>
                  <w:rFonts w:ascii="Arial" w:hAnsi="Arial" w:cs="Arial"/>
                  <w:bCs/>
                </w:rPr>
                <w:t>Oberflächenvere</w:t>
              </w:r>
              <w:r w:rsidRPr="005001F3">
                <w:rPr>
                  <w:rFonts w:ascii="Arial" w:hAnsi="Arial" w:cs="Arial"/>
                  <w:bCs/>
                </w:rPr>
                <w:t>delung</w:t>
              </w:r>
            </w:hyperlink>
            <w:r w:rsidRPr="005001F3">
              <w:rPr>
                <w:rFonts w:ascii="Arial" w:hAnsi="Arial" w:cs="Arial"/>
              </w:rPr>
              <w:t xml:space="preserve"> (EMV,ESD,MED,...) </w:t>
            </w:r>
            <w:proofErr w:type="spellStart"/>
            <w:r w:rsidRPr="005001F3">
              <w:rPr>
                <w:rFonts w:ascii="Arial" w:hAnsi="Arial" w:cs="Arial"/>
              </w:rPr>
              <w:t>uvm</w:t>
            </w:r>
            <w:proofErr w:type="spellEnd"/>
            <w:r w:rsidRPr="005001F3">
              <w:rPr>
                <w:rFonts w:ascii="Arial" w:hAnsi="Arial" w:cs="Arial"/>
              </w:rPr>
              <w:t>. sind jederzeit möglich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Besonderheiten:</w:t>
            </w:r>
          </w:p>
        </w:tc>
        <w:tc>
          <w:tcPr>
            <w:tcW w:w="0" w:type="auto"/>
            <w:hideMark/>
          </w:tcPr>
          <w:p w:rsidR="005001F3" w:rsidRPr="005001F3" w:rsidRDefault="000B0DA1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Schutzart, in IP65, in IP67 und in </w:t>
            </w:r>
            <w:r w:rsidR="008461F1">
              <w:rPr>
                <w:rFonts w:ascii="Arial" w:hAnsi="Arial" w:cs="Arial"/>
              </w:rPr>
              <w:t xml:space="preserve">EMV-Version standardmäßig </w:t>
            </w:r>
            <w:r w:rsidR="00B63FB3">
              <w:rPr>
                <w:rFonts w:ascii="Arial" w:hAnsi="Arial" w:cs="Arial"/>
              </w:rPr>
              <w:t>erhältlich</w:t>
            </w:r>
          </w:p>
        </w:tc>
      </w:tr>
      <w:tr w:rsidR="005001F3" w:rsidTr="005001F3">
        <w:tc>
          <w:tcPr>
            <w:tcW w:w="0" w:type="auto"/>
            <w:hideMark/>
          </w:tcPr>
          <w:p w:rsidR="005001F3" w:rsidRPr="005001F3" w:rsidRDefault="005001F3" w:rsidP="005001F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im Lieferumfang enthalten:</w:t>
            </w:r>
          </w:p>
        </w:tc>
        <w:tc>
          <w:tcPr>
            <w:tcW w:w="0" w:type="auto"/>
            <w:hideMark/>
          </w:tcPr>
          <w:p w:rsidR="005001F3" w:rsidRPr="005001F3" w:rsidRDefault="005001F3" w:rsidP="00B63FB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 xml:space="preserve">Gehäuse </w:t>
            </w:r>
            <w:r w:rsidR="000B0DA1">
              <w:rPr>
                <w:rFonts w:ascii="Arial" w:hAnsi="Arial" w:cs="Arial"/>
              </w:rPr>
              <w:t>(</w:t>
            </w:r>
            <w:r w:rsidRPr="005001F3">
              <w:rPr>
                <w:rFonts w:ascii="Arial" w:hAnsi="Arial" w:cs="Arial"/>
              </w:rPr>
              <w:t>mit angegossenen Wandlaschen</w:t>
            </w:r>
            <w:r w:rsidR="00B63FB3">
              <w:rPr>
                <w:rFonts w:ascii="Arial" w:hAnsi="Arial" w:cs="Arial"/>
              </w:rPr>
              <w:t>), bei IP65 beiliegende</w:t>
            </w:r>
            <w:r w:rsidR="000B0DA1">
              <w:rPr>
                <w:rFonts w:ascii="Arial" w:hAnsi="Arial" w:cs="Arial"/>
              </w:rPr>
              <w:t xml:space="preserve"> Neoprendichtung und bei IP67 montierte Rundschnurdichtung, </w:t>
            </w:r>
            <w:proofErr w:type="spellStart"/>
            <w:r w:rsidR="000B0DA1">
              <w:rPr>
                <w:rFonts w:ascii="Arial" w:hAnsi="Arial" w:cs="Arial"/>
              </w:rPr>
              <w:t>Deckelbefestigungschrauben</w:t>
            </w:r>
            <w:proofErr w:type="spellEnd"/>
            <w:r w:rsidR="000B0DA1">
              <w:rPr>
                <w:rFonts w:ascii="Arial" w:hAnsi="Arial" w:cs="Arial"/>
              </w:rPr>
              <w:t>, eine Erdungsschraube mit Scheibe</w:t>
            </w:r>
          </w:p>
        </w:tc>
      </w:tr>
    </w:tbl>
    <w:p w:rsidR="005001F3" w:rsidRDefault="005001F3" w:rsidP="00EB5698">
      <w:pPr>
        <w:spacing w:after="0" w:line="360" w:lineRule="auto"/>
        <w:contextualSpacing/>
        <w:jc w:val="both"/>
      </w:pPr>
    </w:p>
    <w:p w:rsidR="000E6D3D" w:rsidRDefault="000E6D3D" w:rsidP="00EB5698">
      <w:p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</w:t>
      </w:r>
      <w:r w:rsidR="00E37689">
        <w:rPr>
          <w:rFonts w:ascii="Arial" w:hAnsi="Arial" w:cs="Arial"/>
        </w:rPr>
        <w:t>onen finden Sie auf:</w:t>
      </w:r>
    </w:p>
    <w:p w:rsidR="00E37689" w:rsidRPr="00FD2BCA" w:rsidRDefault="00563F40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hyperlink r:id="rId14" w:history="1">
        <w:r w:rsidR="005001F3" w:rsidRPr="00FD2BCA">
          <w:rPr>
            <w:rStyle w:val="Hyperlink"/>
            <w:color w:val="009DA2"/>
            <w:sz w:val="22"/>
            <w:szCs w:val="22"/>
          </w:rPr>
          <w:t>www.Industriegehaeuse.de</w:t>
        </w:r>
      </w:hyperlink>
      <w:r w:rsidR="005001F3" w:rsidRPr="00FD2BCA">
        <w:rPr>
          <w:rStyle w:val="Hyperlink"/>
          <w:color w:val="009DA2"/>
          <w:sz w:val="22"/>
          <w:szCs w:val="22"/>
        </w:rPr>
        <w:t xml:space="preserve">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lastRenderedPageBreak/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Pr="008D45D8" w:rsidRDefault="000E6D3D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5" w:history="1">
        <w:r w:rsidR="00552848"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6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7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4" w:rsidRDefault="00FC7224" w:rsidP="003C1C57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4" w:rsidRDefault="00FC7224" w:rsidP="003C1C57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0DA1"/>
    <w:rsid w:val="000B1192"/>
    <w:rsid w:val="000B14DF"/>
    <w:rsid w:val="000B4A80"/>
    <w:rsid w:val="000C31C3"/>
    <w:rsid w:val="000C53F7"/>
    <w:rsid w:val="000C5C40"/>
    <w:rsid w:val="000D2643"/>
    <w:rsid w:val="000E6D3D"/>
    <w:rsid w:val="00106AA8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10B5"/>
    <w:rsid w:val="00191AA8"/>
    <w:rsid w:val="001E2027"/>
    <w:rsid w:val="001E5225"/>
    <w:rsid w:val="001F4D8E"/>
    <w:rsid w:val="00205956"/>
    <w:rsid w:val="002073E0"/>
    <w:rsid w:val="002127F1"/>
    <w:rsid w:val="00215694"/>
    <w:rsid w:val="00222D11"/>
    <w:rsid w:val="00267829"/>
    <w:rsid w:val="002A0EF9"/>
    <w:rsid w:val="002B70CA"/>
    <w:rsid w:val="002D3800"/>
    <w:rsid w:val="002E7A78"/>
    <w:rsid w:val="002F208C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8434F"/>
    <w:rsid w:val="0038777F"/>
    <w:rsid w:val="00394180"/>
    <w:rsid w:val="003961EC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34979"/>
    <w:rsid w:val="00435162"/>
    <w:rsid w:val="00453F96"/>
    <w:rsid w:val="0049500A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3F40"/>
    <w:rsid w:val="00566160"/>
    <w:rsid w:val="0057153A"/>
    <w:rsid w:val="005718E5"/>
    <w:rsid w:val="00585E3C"/>
    <w:rsid w:val="00592105"/>
    <w:rsid w:val="005A20AD"/>
    <w:rsid w:val="005B501A"/>
    <w:rsid w:val="005C337A"/>
    <w:rsid w:val="005D3FD1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C2E57"/>
    <w:rsid w:val="006E55A4"/>
    <w:rsid w:val="00723E2A"/>
    <w:rsid w:val="00724DD8"/>
    <w:rsid w:val="00730F8A"/>
    <w:rsid w:val="0073734C"/>
    <w:rsid w:val="00746628"/>
    <w:rsid w:val="007538ED"/>
    <w:rsid w:val="007625C8"/>
    <w:rsid w:val="007649A4"/>
    <w:rsid w:val="00766A07"/>
    <w:rsid w:val="00773096"/>
    <w:rsid w:val="007744E2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461F1"/>
    <w:rsid w:val="008554E3"/>
    <w:rsid w:val="008728D7"/>
    <w:rsid w:val="0088233A"/>
    <w:rsid w:val="008960A1"/>
    <w:rsid w:val="008A3CAB"/>
    <w:rsid w:val="008B1FB7"/>
    <w:rsid w:val="008B669E"/>
    <w:rsid w:val="008B6903"/>
    <w:rsid w:val="008C5A58"/>
    <w:rsid w:val="008C707D"/>
    <w:rsid w:val="008D45D8"/>
    <w:rsid w:val="008D59E4"/>
    <w:rsid w:val="008F063F"/>
    <w:rsid w:val="008F46A2"/>
    <w:rsid w:val="008F4B92"/>
    <w:rsid w:val="00921E69"/>
    <w:rsid w:val="009252FD"/>
    <w:rsid w:val="00927297"/>
    <w:rsid w:val="00942E77"/>
    <w:rsid w:val="0097767F"/>
    <w:rsid w:val="00980FAE"/>
    <w:rsid w:val="009B6B4A"/>
    <w:rsid w:val="009B710F"/>
    <w:rsid w:val="009C5499"/>
    <w:rsid w:val="009C64CD"/>
    <w:rsid w:val="009E59F6"/>
    <w:rsid w:val="009F4F47"/>
    <w:rsid w:val="009F7E59"/>
    <w:rsid w:val="00A06376"/>
    <w:rsid w:val="00A521A4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63FB3"/>
    <w:rsid w:val="00B74941"/>
    <w:rsid w:val="00B757AB"/>
    <w:rsid w:val="00B913E5"/>
    <w:rsid w:val="00B9658D"/>
    <w:rsid w:val="00BA13D2"/>
    <w:rsid w:val="00BC0650"/>
    <w:rsid w:val="00BD11B9"/>
    <w:rsid w:val="00BE002A"/>
    <w:rsid w:val="00BE468D"/>
    <w:rsid w:val="00BE51BD"/>
    <w:rsid w:val="00BE587D"/>
    <w:rsid w:val="00BF0247"/>
    <w:rsid w:val="00BF20D4"/>
    <w:rsid w:val="00C00330"/>
    <w:rsid w:val="00C00B23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6616"/>
    <w:rsid w:val="00D03F80"/>
    <w:rsid w:val="00D07934"/>
    <w:rsid w:val="00D10BB7"/>
    <w:rsid w:val="00D120C4"/>
    <w:rsid w:val="00D3314B"/>
    <w:rsid w:val="00D64020"/>
    <w:rsid w:val="00D709AC"/>
    <w:rsid w:val="00D75395"/>
    <w:rsid w:val="00D75DA1"/>
    <w:rsid w:val="00D817FE"/>
    <w:rsid w:val="00D824BC"/>
    <w:rsid w:val="00D82632"/>
    <w:rsid w:val="00D875FE"/>
    <w:rsid w:val="00D87C75"/>
    <w:rsid w:val="00D92B7B"/>
    <w:rsid w:val="00DB22C8"/>
    <w:rsid w:val="00DB3FF3"/>
    <w:rsid w:val="00DB4B0C"/>
    <w:rsid w:val="00DD3170"/>
    <w:rsid w:val="00DE0171"/>
    <w:rsid w:val="00DF564F"/>
    <w:rsid w:val="00E05E6D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657C"/>
    <w:rsid w:val="00E93D35"/>
    <w:rsid w:val="00EB5698"/>
    <w:rsid w:val="00ED449F"/>
    <w:rsid w:val="00EE5875"/>
    <w:rsid w:val="00F15DBE"/>
    <w:rsid w:val="00F21696"/>
    <w:rsid w:val="00F26768"/>
    <w:rsid w:val="00F36704"/>
    <w:rsid w:val="00F61B90"/>
    <w:rsid w:val="00F62D7F"/>
    <w:rsid w:val="00F65C79"/>
    <w:rsid w:val="00F75853"/>
    <w:rsid w:val="00F85C1D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ustriegehaeuse.de/unternehmen/oberflaech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oehrgmbh.de/de/produkte/eingabesystem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.Maier@WoehrGmbH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dustriegehaeuse.de/unternehmen/bearbeitu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ehrGmbH.de/de/aktuelles-presse/pressecenter/" TargetMode="External"/><Relationship Id="rId10" Type="http://schemas.openxmlformats.org/officeDocument/2006/relationships/hyperlink" Target="http://www.industriegehaeuse.de/unternehmen/standardtastaturen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de/unternehmen/schutzarten/" TargetMode="External"/><Relationship Id="rId14" Type="http://schemas.openxmlformats.org/officeDocument/2006/relationships/hyperlink" Target="http://www.Industriegehaeus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DF03-A9CA-45E5-B58E-A7320BF0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8</cp:revision>
  <cp:lastPrinted>2015-04-09T11:43:00Z</cp:lastPrinted>
  <dcterms:created xsi:type="dcterms:W3CDTF">2015-04-09T09:11:00Z</dcterms:created>
  <dcterms:modified xsi:type="dcterms:W3CDTF">2015-04-10T05:57:00Z</dcterms:modified>
</cp:coreProperties>
</file>