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proofErr w:type="gramStart"/>
      <w:r>
        <w:rPr>
          <w:rFonts w:ascii="Arial" w:hAnsi="Arial" w:cs="Arial"/>
          <w:b/>
          <w:spacing w:val="59"/>
          <w:sz w:val="28"/>
          <w:szCs w:val="28"/>
        </w:rPr>
        <w:t>PRESSEMELDUNG</w:t>
      </w:r>
      <w:r>
        <w:rPr>
          <w:rFonts w:ascii="Arial" w:hAnsi="Arial" w:cs="Arial"/>
          <w:b/>
          <w:spacing w:val="1"/>
          <w:sz w:val="28"/>
          <w:szCs w:val="28"/>
        </w:rPr>
        <w:t xml:space="preserve">  |</w:t>
      </w:r>
      <w:proofErr w:type="gramEnd"/>
      <w:r>
        <w:rPr>
          <w:rFonts w:ascii="Arial" w:hAnsi="Arial" w:cs="Arial"/>
          <w:b/>
          <w:spacing w:val="1"/>
          <w:sz w:val="28"/>
          <w:szCs w:val="28"/>
        </w:rPr>
        <w:t xml:space="preserve">   10.06.2021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 xml:space="preserve">Mehr Schutz für Ihre Gehäuse </w:t>
      </w:r>
    </w:p>
    <w:p>
      <w:pPr>
        <w:pStyle w:val="berschrift1"/>
        <w:spacing w:line="276" w:lineRule="auto"/>
        <w:rPr>
          <w:rFonts w:ascii="Arial" w:hAnsi="Arial" w:cs="Arial"/>
          <w:sz w:val="22"/>
          <w:szCs w:val="22"/>
        </w:rPr>
      </w:pPr>
      <w:r>
        <w:rPr>
          <w:rFonts w:ascii="Arial" w:hAnsi="Arial" w:cs="Arial"/>
          <w:sz w:val="22"/>
          <w:szCs w:val="40"/>
        </w:rPr>
        <w:t>WÖHR</w:t>
      </w:r>
      <w:r>
        <w:rPr>
          <w:rFonts w:ascii="Arial" w:hAnsi="Arial" w:cs="Arial"/>
          <w:sz w:val="22"/>
          <w:szCs w:val="22"/>
        </w:rPr>
        <w:t>®</w:t>
      </w:r>
      <w:r>
        <w:rPr>
          <w:rFonts w:ascii="Arial" w:hAnsi="Arial" w:cs="Arial"/>
          <w:sz w:val="22"/>
          <w:szCs w:val="40"/>
        </w:rPr>
        <w:t xml:space="preserve"> </w:t>
      </w:r>
      <w:r>
        <w:rPr>
          <w:rFonts w:ascii="Arial" w:hAnsi="Arial" w:cs="Arial"/>
          <w:sz w:val="22"/>
          <w:szCs w:val="22"/>
        </w:rPr>
        <w:t xml:space="preserve">erweitert die Kunststoffgehäuseserie GH02KS002 </w:t>
      </w:r>
    </w:p>
    <w:p>
      <w:pPr>
        <w:jc w:val="both"/>
        <w:rPr>
          <w:rFonts w:ascii="Arial" w:hAnsi="Arial" w:cs="Arial"/>
        </w:rPr>
      </w:pPr>
      <w:r>
        <w:rPr>
          <w:rFonts w:ascii="Arial" w:hAnsi="Arial" w:cs="Arial"/>
        </w:rPr>
        <w:t xml:space="preserve">Die bewährten Kunststoffgehäuse der Serie GH02KS002 sind ab sofort optional in der Schutzart IP68 verfügbar. </w:t>
      </w:r>
    </w:p>
    <w:p>
      <w:pPr>
        <w:jc w:val="both"/>
        <w:rPr>
          <w:rFonts w:ascii="Arial" w:hAnsi="Arial" w:cs="Arial"/>
        </w:rPr>
      </w:pPr>
      <w:r>
        <w:rPr>
          <w:rFonts w:ascii="Arial" w:hAnsi="Arial" w:cs="Arial"/>
        </w:rPr>
        <w:t>Durch die erhöhte Schutzart, welche durch den Einsatz einer geschlossenen Silikondichtung auch ausgezeichnete Temperatureigenschaften erreicht, können die Gehäuse bis zu</w:t>
      </w:r>
      <w:r>
        <w:rPr>
          <w:rFonts w:ascii="Arial" w:hAnsi="Arial" w:cs="Arial"/>
          <w:color w:val="943634" w:themeColor="accent2" w:themeShade="BF"/>
        </w:rPr>
        <w:t xml:space="preserve"> </w:t>
      </w:r>
      <w:r>
        <w:rPr>
          <w:rFonts w:ascii="Arial" w:hAnsi="Arial" w:cs="Arial"/>
        </w:rPr>
        <w:t>60min lang 1m tief im Wasser untergetaucht werden ohne dass dieses in die Kunststoffgehäuse eintritt. Dadurch ergeben sich äußerst vielfältige Einsatzbereiche in allen Branchen mit hohen Anforderungen an den Schutz der eingebauten Elektrik und Elektronik, insbesondere im Außenbereich (Polycarbonat).</w:t>
      </w:r>
    </w:p>
    <w:p>
      <w:pPr>
        <w:jc w:val="both"/>
        <w:rPr>
          <w:rFonts w:ascii="Arial" w:hAnsi="Arial" w:cs="Arial"/>
        </w:rPr>
      </w:pPr>
      <w:r>
        <w:rPr>
          <w:noProof/>
        </w:rPr>
        <w:drawing>
          <wp:anchor distT="0" distB="0" distL="114300" distR="114300" simplePos="0" relativeHeight="251662336" behindDoc="1" locked="0" layoutInCell="1" allowOverlap="1">
            <wp:simplePos x="0" y="0"/>
            <wp:positionH relativeFrom="column">
              <wp:posOffset>31916</wp:posOffset>
            </wp:positionH>
            <wp:positionV relativeFrom="paragraph">
              <wp:posOffset>321642</wp:posOffset>
            </wp:positionV>
            <wp:extent cx="3966210" cy="206692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80" t="25868" r="16120" b="15748"/>
                    <a:stretch/>
                  </pic:blipFill>
                  <pic:spPr bwMode="auto">
                    <a:xfrm>
                      <a:off x="0" y="0"/>
                      <a:ext cx="3966210" cy="206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Auch gegen den Eintritt von Staub schützen diese Gehäuse bestens.</w:t>
      </w:r>
    </w:p>
    <w:p>
      <w:pPr>
        <w:jc w:val="both"/>
        <w:rPr>
          <w:rFonts w:ascii="Arial" w:hAnsi="Arial" w:cs="Arial"/>
        </w:rPr>
      </w:pPr>
      <w:r>
        <w:rPr>
          <w:noProof/>
        </w:rPr>
        <w:drawing>
          <wp:anchor distT="0" distB="0" distL="114300" distR="114300" simplePos="0" relativeHeight="251663360" behindDoc="0" locked="0" layoutInCell="1" allowOverlap="1">
            <wp:simplePos x="0" y="0"/>
            <wp:positionH relativeFrom="margin">
              <wp:posOffset>3586700</wp:posOffset>
            </wp:positionH>
            <wp:positionV relativeFrom="paragraph">
              <wp:posOffset>2292046</wp:posOffset>
            </wp:positionV>
            <wp:extent cx="2053590" cy="2138680"/>
            <wp:effectExtent l="0" t="0" r="0" b="0"/>
            <wp:wrapThrough wrapText="bothSides">
              <wp:wrapPolygon edited="0">
                <wp:start x="9017" y="385"/>
                <wp:lineTo x="5610" y="1539"/>
                <wp:lineTo x="4809" y="2116"/>
                <wp:lineTo x="4809" y="3848"/>
                <wp:lineTo x="2404" y="6926"/>
                <wp:lineTo x="1603" y="10005"/>
                <wp:lineTo x="1603" y="14815"/>
                <wp:lineTo x="2204" y="16162"/>
                <wp:lineTo x="3006" y="16162"/>
                <wp:lineTo x="10019" y="19817"/>
                <wp:lineTo x="10219" y="20202"/>
                <wp:lineTo x="12022" y="20202"/>
                <wp:lineTo x="18033" y="16546"/>
                <wp:lineTo x="18234" y="11159"/>
                <wp:lineTo x="17432" y="10005"/>
                <wp:lineTo x="18033" y="6734"/>
                <wp:lineTo x="17232" y="5772"/>
                <wp:lineTo x="15028" y="3848"/>
                <wp:lineTo x="15429" y="2501"/>
                <wp:lineTo x="14427" y="1539"/>
                <wp:lineTo x="10820" y="385"/>
                <wp:lineTo x="9017" y="385"/>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619" t="31801" r="18838" b="28937"/>
                    <a:stretch/>
                  </pic:blipFill>
                  <pic:spPr bwMode="auto">
                    <a:xfrm>
                      <a:off x="0" y="0"/>
                      <a:ext cx="2053590" cy="213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jc w:val="both"/>
        <w:rPr>
          <w:rFonts w:ascii="Arial" w:hAnsi="Arial" w:cs="Arial"/>
        </w:rPr>
      </w:pPr>
      <w:r>
        <w:rPr>
          <w:rFonts w:ascii="Arial" w:hAnsi="Arial" w:cs="Arial"/>
        </w:rPr>
        <w:t xml:space="preserve">Die wasserdichten Gehäuse sind in verschiedenen Varianten verfügbar, egal ob in lichtgrau (PC; ähnlich RAL 7035) oder dunkelgrau (ABS; ähnlich RAL 7001) oder mit transparentem Deckel. Die vielfältige Größenauswahl von 64 x 58 x 35 mm bis 160 x 160 x 90 mm deckt viele Bedarfe und Applikationen ab. </w:t>
      </w:r>
    </w:p>
    <w:p>
      <w:pPr>
        <w:jc w:val="both"/>
        <w:rPr>
          <w:rFonts w:ascii="Arial" w:hAnsi="Arial" w:cs="Arial"/>
        </w:rPr>
      </w:pPr>
      <w:r>
        <w:rPr>
          <w:rFonts w:ascii="Arial" w:hAnsi="Arial" w:cs="Arial"/>
        </w:rPr>
        <w:t xml:space="preserve">Die Gehäuseserie kann mit passendem Zubehör wie Scharnieren, Wandlaschen oder Montageplatten an Ihre Anwendungen angepasst werden. </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Weitere technische Informationen der GH02KS002-Serie im Überblick: </w:t>
      </w:r>
    </w:p>
    <w:tbl>
      <w:tblPr>
        <w:tblStyle w:val="Tabellenraster"/>
        <w:tblW w:w="0" w:type="auto"/>
        <w:tblLook w:val="04A0" w:firstRow="1" w:lastRow="0" w:firstColumn="1" w:lastColumn="0" w:noHBand="0" w:noVBand="1"/>
      </w:tblPr>
      <w:tblGrid>
        <w:gridCol w:w="2518"/>
        <w:gridCol w:w="5510"/>
      </w:tblGrid>
      <w:tr>
        <w:tc>
          <w:tcPr>
            <w:tcW w:w="2518" w:type="dxa"/>
          </w:tcPr>
          <w:p>
            <w:pPr>
              <w:pStyle w:val="KeinLeerraum"/>
              <w:rPr>
                <w:rFonts w:ascii="Arial" w:hAnsi="Arial" w:cs="Arial"/>
                <w:sz w:val="20"/>
                <w:szCs w:val="20"/>
              </w:rPr>
            </w:pPr>
            <w:r>
              <w:rPr>
                <w:rFonts w:ascii="Arial" w:hAnsi="Arial" w:cs="Arial"/>
                <w:sz w:val="20"/>
                <w:szCs w:val="20"/>
              </w:rPr>
              <w:t>Schutzart:</w:t>
            </w:r>
          </w:p>
        </w:tc>
        <w:tc>
          <w:tcPr>
            <w:tcW w:w="5510" w:type="dxa"/>
          </w:tcPr>
          <w:p>
            <w:pPr>
              <w:pStyle w:val="KeinLeerraum"/>
              <w:rPr>
                <w:rFonts w:ascii="Arial" w:hAnsi="Arial" w:cs="Arial"/>
                <w:sz w:val="20"/>
                <w:szCs w:val="20"/>
              </w:rPr>
            </w:pPr>
            <w:r>
              <w:rPr>
                <w:rFonts w:ascii="Arial" w:hAnsi="Arial" w:cs="Arial"/>
                <w:sz w:val="20"/>
                <w:szCs w:val="20"/>
              </w:rPr>
              <w:t>IP65</w:t>
            </w:r>
            <w:r>
              <w:rPr>
                <w:rFonts w:ascii="Arial" w:hAnsi="Arial" w:cs="Arial"/>
                <w:sz w:val="20"/>
                <w:szCs w:val="20"/>
              </w:rPr>
              <w:br/>
              <w:t>IP67</w:t>
            </w:r>
            <w:r>
              <w:rPr>
                <w:rFonts w:ascii="Arial" w:hAnsi="Arial" w:cs="Arial"/>
                <w:sz w:val="20"/>
                <w:szCs w:val="20"/>
              </w:rPr>
              <w:br/>
              <w:t xml:space="preserve">IP68 </w:t>
            </w:r>
          </w:p>
        </w:tc>
      </w:tr>
      <w:tr>
        <w:tc>
          <w:tcPr>
            <w:tcW w:w="2518" w:type="dxa"/>
          </w:tcPr>
          <w:p>
            <w:pPr>
              <w:pStyle w:val="KeinLeerraum"/>
              <w:rPr>
                <w:rFonts w:ascii="Arial" w:hAnsi="Arial" w:cs="Arial"/>
                <w:sz w:val="20"/>
                <w:szCs w:val="20"/>
              </w:rPr>
            </w:pPr>
            <w:r>
              <w:rPr>
                <w:rFonts w:ascii="Arial" w:hAnsi="Arial" w:cs="Arial"/>
                <w:sz w:val="20"/>
                <w:szCs w:val="20"/>
              </w:rPr>
              <w:t>Material:</w:t>
            </w:r>
          </w:p>
        </w:tc>
        <w:tc>
          <w:tcPr>
            <w:tcW w:w="5510" w:type="dxa"/>
          </w:tcPr>
          <w:p>
            <w:pPr>
              <w:pStyle w:val="KeinLeerraum"/>
              <w:rPr>
                <w:rFonts w:ascii="Arial" w:hAnsi="Arial" w:cs="Arial"/>
                <w:sz w:val="20"/>
                <w:szCs w:val="20"/>
              </w:rPr>
            </w:pPr>
            <w:r>
              <w:rPr>
                <w:rFonts w:ascii="Arial" w:hAnsi="Arial" w:cs="Arial"/>
                <w:sz w:val="20"/>
                <w:szCs w:val="20"/>
              </w:rPr>
              <w:t>Polycarbonat oder ABS (UL 94 HB)</w:t>
            </w:r>
          </w:p>
        </w:tc>
      </w:tr>
      <w:tr>
        <w:tc>
          <w:tcPr>
            <w:tcW w:w="2518" w:type="dxa"/>
          </w:tcPr>
          <w:p>
            <w:pPr>
              <w:pStyle w:val="KeinLeerraum"/>
              <w:rPr>
                <w:rFonts w:ascii="Arial" w:hAnsi="Arial" w:cs="Arial"/>
                <w:sz w:val="20"/>
                <w:szCs w:val="20"/>
              </w:rPr>
            </w:pPr>
            <w:r>
              <w:rPr>
                <w:rFonts w:ascii="Arial" w:hAnsi="Arial" w:cs="Arial"/>
                <w:sz w:val="20"/>
                <w:szCs w:val="20"/>
              </w:rPr>
              <w:t>Temperaturbereich:</w:t>
            </w:r>
          </w:p>
        </w:tc>
        <w:tc>
          <w:tcPr>
            <w:tcW w:w="5510" w:type="dxa"/>
          </w:tcPr>
          <w:p>
            <w:pPr>
              <w:pStyle w:val="KeinLeerraum"/>
              <w:rPr>
                <w:rFonts w:ascii="Arial" w:hAnsi="Arial" w:cs="Arial"/>
                <w:sz w:val="20"/>
                <w:szCs w:val="20"/>
              </w:rPr>
            </w:pPr>
            <w:r>
              <w:rPr>
                <w:rFonts w:ascii="Arial" w:hAnsi="Arial" w:cs="Arial"/>
                <w:sz w:val="20"/>
                <w:szCs w:val="20"/>
              </w:rPr>
              <w:t>Polycarbonat -40 bis +120°C</w:t>
            </w:r>
            <w:r>
              <w:rPr>
                <w:rFonts w:ascii="Arial" w:hAnsi="Arial" w:cs="Arial"/>
                <w:sz w:val="20"/>
                <w:szCs w:val="20"/>
              </w:rPr>
              <w:br/>
              <w:t>ABS -20 bis +80°C</w:t>
            </w:r>
          </w:p>
        </w:tc>
      </w:tr>
      <w:tr>
        <w:tc>
          <w:tcPr>
            <w:tcW w:w="2518" w:type="dxa"/>
          </w:tcPr>
          <w:p>
            <w:pPr>
              <w:pStyle w:val="KeinLeerraum"/>
              <w:rPr>
                <w:rFonts w:ascii="Arial" w:hAnsi="Arial" w:cs="Arial"/>
                <w:sz w:val="20"/>
                <w:szCs w:val="20"/>
              </w:rPr>
            </w:pPr>
            <w:r>
              <w:rPr>
                <w:rFonts w:ascii="Arial" w:hAnsi="Arial" w:cs="Arial"/>
                <w:sz w:val="20"/>
                <w:szCs w:val="20"/>
              </w:rPr>
              <w:t>Farben:</w:t>
            </w:r>
          </w:p>
        </w:tc>
        <w:tc>
          <w:tcPr>
            <w:tcW w:w="5510" w:type="dxa"/>
          </w:tcPr>
          <w:p>
            <w:pPr>
              <w:pStyle w:val="KeinLeerraum"/>
              <w:rPr>
                <w:rFonts w:ascii="Arial" w:hAnsi="Arial" w:cs="Arial"/>
                <w:sz w:val="20"/>
                <w:szCs w:val="20"/>
              </w:rPr>
            </w:pPr>
            <w:r>
              <w:rPr>
                <w:rFonts w:ascii="Arial" w:eastAsia="Times New Roman" w:hAnsi="Arial" w:cs="Arial"/>
                <w:sz w:val="20"/>
                <w:szCs w:val="20"/>
                <w:lang w:eastAsia="de-DE"/>
              </w:rPr>
              <w:t>Polycarbonat lichtgrau (ähnlich RAL 7035),</w:t>
            </w:r>
            <w:r>
              <w:rPr>
                <w:rFonts w:ascii="Arial" w:eastAsia="Times New Roman" w:hAnsi="Arial" w:cs="Arial"/>
                <w:sz w:val="20"/>
                <w:szCs w:val="20"/>
                <w:lang w:eastAsia="de-DE"/>
              </w:rPr>
              <w:br/>
              <w:t>ABS silbergrau (ähnlich RAL 7001)</w:t>
            </w:r>
            <w:r>
              <w:rPr>
                <w:rFonts w:ascii="Arial" w:hAnsi="Arial" w:cs="Arial"/>
                <w:sz w:val="20"/>
                <w:szCs w:val="20"/>
              </w:rPr>
              <w:br/>
              <w:t>weitere auf Anfrage</w:t>
            </w:r>
          </w:p>
        </w:tc>
      </w:tr>
      <w:tr>
        <w:tc>
          <w:tcPr>
            <w:tcW w:w="2518" w:type="dxa"/>
          </w:tcPr>
          <w:p>
            <w:pPr>
              <w:pStyle w:val="KeinLeerraum"/>
              <w:rPr>
                <w:rFonts w:ascii="Arial" w:hAnsi="Arial" w:cs="Arial"/>
                <w:sz w:val="20"/>
                <w:szCs w:val="20"/>
              </w:rPr>
            </w:pPr>
            <w:r>
              <w:rPr>
                <w:rFonts w:ascii="Arial" w:hAnsi="Arial" w:cs="Arial"/>
                <w:sz w:val="20"/>
                <w:szCs w:val="20"/>
              </w:rPr>
              <w:t>Modifikationen:</w:t>
            </w:r>
          </w:p>
        </w:tc>
        <w:tc>
          <w:tcPr>
            <w:tcW w:w="5510" w:type="dxa"/>
          </w:tcPr>
          <w:p>
            <w:pPr>
              <w:pStyle w:val="KeinLeerraum"/>
              <w:rPr>
                <w:rFonts w:ascii="Arial" w:hAnsi="Arial" w:cs="Arial"/>
                <w:sz w:val="20"/>
                <w:szCs w:val="20"/>
              </w:rPr>
            </w:pPr>
            <w:r>
              <w:rPr>
                <w:rFonts w:ascii="Arial" w:hAnsi="Arial" w:cs="Arial"/>
                <w:sz w:val="20"/>
                <w:szCs w:val="20"/>
              </w:rPr>
              <w:t>passende</w:t>
            </w:r>
            <w:r>
              <w:rPr>
                <w:rFonts w:ascii="Arial" w:hAnsi="Arial" w:cs="Arial"/>
                <w:bCs/>
                <w:sz w:val="20"/>
                <w:szCs w:val="20"/>
              </w:rPr>
              <w:t xml:space="preserve"> Folientastaturen</w:t>
            </w:r>
            <w:r>
              <w:rPr>
                <w:rFonts w:ascii="Arial" w:hAnsi="Arial" w:cs="Arial"/>
                <w:sz w:val="20"/>
                <w:szCs w:val="20"/>
              </w:rPr>
              <w:t xml:space="preserve">, </w:t>
            </w:r>
            <w:r>
              <w:rPr>
                <w:rFonts w:ascii="Arial" w:hAnsi="Arial" w:cs="Arial"/>
                <w:bCs/>
                <w:sz w:val="20"/>
                <w:szCs w:val="20"/>
              </w:rPr>
              <w:t>mechanische Bearbeitung</w:t>
            </w:r>
            <w:r>
              <w:rPr>
                <w:rFonts w:ascii="Arial" w:hAnsi="Arial" w:cs="Arial"/>
                <w:sz w:val="20"/>
                <w:szCs w:val="20"/>
              </w:rPr>
              <w:t xml:space="preserve">, </w:t>
            </w:r>
            <w:r>
              <w:rPr>
                <w:rFonts w:ascii="Arial" w:hAnsi="Arial" w:cs="Arial"/>
                <w:bCs/>
                <w:sz w:val="20"/>
                <w:szCs w:val="20"/>
              </w:rPr>
              <w:t>Eingabesysteme</w:t>
            </w:r>
            <w:r>
              <w:rPr>
                <w:rFonts w:ascii="Arial" w:hAnsi="Arial" w:cs="Arial"/>
                <w:sz w:val="20"/>
                <w:szCs w:val="20"/>
              </w:rPr>
              <w:t xml:space="preserve">, </w:t>
            </w:r>
            <w:r>
              <w:rPr>
                <w:rFonts w:ascii="Arial" w:hAnsi="Arial" w:cs="Arial"/>
                <w:bCs/>
                <w:sz w:val="20"/>
                <w:szCs w:val="20"/>
              </w:rPr>
              <w:t>Oberflächenveredelung</w:t>
            </w:r>
            <w:r>
              <w:rPr>
                <w:rFonts w:ascii="Arial" w:hAnsi="Arial" w:cs="Arial"/>
                <w:sz w:val="20"/>
                <w:szCs w:val="20"/>
              </w:rPr>
              <w:t xml:space="preserve"> (EMV, ESD, MED, ...) uvm. sind jederzeit auf Anfrage möglich</w:t>
            </w:r>
          </w:p>
        </w:tc>
      </w:tr>
    </w:tbl>
    <w:p>
      <w:pPr>
        <w:jc w:val="both"/>
        <w:rPr>
          <w:rFonts w:ascii="Arial" w:hAnsi="Arial" w:cs="Arial"/>
        </w:rPr>
      </w:pPr>
    </w:p>
    <w:p>
      <w:pPr>
        <w:jc w:val="both"/>
        <w:rPr>
          <w:rFonts w:ascii="Arial" w:hAnsi="Arial" w:cs="Arial"/>
        </w:rPr>
      </w:pPr>
      <w:r>
        <w:rPr>
          <w:rFonts w:ascii="Arial" w:hAnsi="Arial" w:cs="Arial"/>
        </w:rPr>
        <w:t xml:space="preserve">Die Gehäuse werden </w:t>
      </w:r>
      <w:proofErr w:type="spellStart"/>
      <w:r>
        <w:rPr>
          <w:rFonts w:ascii="Arial" w:hAnsi="Arial" w:cs="Arial"/>
        </w:rPr>
        <w:t>unmontiert</w:t>
      </w:r>
      <w:proofErr w:type="spellEnd"/>
      <w:r>
        <w:rPr>
          <w:rFonts w:ascii="Arial" w:hAnsi="Arial" w:cs="Arial"/>
        </w:rPr>
        <w:t xml:space="preserve"> mit Ober- und Unterschale, inklusive Dichtung und M3x4 Schrauben geliefert.  </w:t>
      </w:r>
    </w:p>
    <w:p>
      <w:pPr>
        <w:jc w:val="both"/>
        <w:rPr>
          <w:rFonts w:ascii="Arial" w:hAnsi="Arial" w:cs="Arial"/>
        </w:rPr>
      </w:pPr>
      <w:r>
        <w:rPr>
          <w:rFonts w:ascii="Arial" w:hAnsi="Arial" w:cs="Arial"/>
        </w:rPr>
        <w:t xml:space="preserve">Sie haben Interesse bekommen? </w:t>
      </w:r>
    </w:p>
    <w:p>
      <w:pPr>
        <w:spacing w:after="0"/>
        <w:jc w:val="both"/>
        <w:rPr>
          <w:rFonts w:ascii="Arial" w:hAnsi="Arial" w:cs="Arial"/>
        </w:rPr>
      </w:pPr>
      <w:r>
        <w:rPr>
          <w:rFonts w:ascii="Arial" w:hAnsi="Arial" w:cs="Arial"/>
        </w:rPr>
        <w:t>Weitere Informationen zu Serien Erweiterung finden Sie unter:</w:t>
      </w:r>
    </w:p>
    <w:p>
      <w:pPr>
        <w:spacing w:after="0"/>
        <w:jc w:val="both"/>
        <w:rPr>
          <w:rFonts w:ascii="Arial" w:hAnsi="Arial" w:cs="Arial"/>
        </w:rPr>
      </w:pPr>
      <w:r>
        <w:rPr>
          <w:rFonts w:ascii="Arial" w:hAnsi="Arial" w:cs="Arial"/>
          <w:b/>
          <w:bCs/>
          <w:color w:val="009DA2"/>
        </w:rPr>
        <w:t>https://www.industriegehaeuse.de/de/kunststoff-gehaeuse/kunststoff-gehaeuse-serie-gh02/kunststoffgehaeuse-ks002/</w:t>
      </w:r>
    </w:p>
    <w:p>
      <w:pPr>
        <w:spacing w:after="0" w:line="360" w:lineRule="auto"/>
        <w:contextualSpacing/>
        <w:jc w:val="both"/>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jc w:val="both"/>
        <w:rPr>
          <w:rStyle w:val="Hyperlink"/>
          <w:color w:val="009DA2"/>
          <w:sz w:val="22"/>
          <w:szCs w:val="22"/>
        </w:rPr>
      </w:pPr>
      <w:r>
        <w:rPr>
          <w:rFonts w:ascii="Arial" w:hAnsi="Arial" w:cs="Arial"/>
        </w:rPr>
        <w:t>Download dieser Pressemitteilung und weitere Informationen und Bilder unter</w:t>
      </w:r>
      <w:r>
        <w:t xml:space="preserve"> </w:t>
      </w:r>
      <w:hyperlink r:id="rId10"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E-Mail: </w:t>
      </w:r>
      <w:hyperlink r:id="rId11" w:history="1">
        <w:r>
          <w:rPr>
            <w:rStyle w:val="Hyperlink"/>
            <w:color w:val="009DA2"/>
            <w:spacing w:val="1"/>
            <w:sz w:val="18"/>
            <w:szCs w:val="16"/>
          </w:rPr>
          <w:t>Marketing@WoehrGmbH.de</w:t>
        </w:r>
      </w:hyperlink>
    </w:p>
    <w:sectPr>
      <w:headerReference w:type="default" r:id="rId12"/>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einLeerraum">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WoehrGmbH.de" TargetMode="External"/><Relationship Id="rId5" Type="http://schemas.openxmlformats.org/officeDocument/2006/relationships/webSettings" Target="webSettings.xml"/><Relationship Id="rId10" Type="http://schemas.openxmlformats.org/officeDocument/2006/relationships/hyperlink" Target="http://www.WoehrGmbH.de/de/aktuelles-presse/presse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5</cp:revision>
  <cp:lastPrinted>2020-10-07T09:48:00Z</cp:lastPrinted>
  <dcterms:created xsi:type="dcterms:W3CDTF">2021-04-20T11:55:00Z</dcterms:created>
  <dcterms:modified xsi:type="dcterms:W3CDTF">2021-06-09T06:52:00Z</dcterms:modified>
</cp:coreProperties>
</file>