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E600E8">
        <w:rPr>
          <w:rFonts w:ascii="Arial" w:hAnsi="Arial" w:cs="Arial"/>
          <w:b/>
          <w:spacing w:val="1"/>
          <w:sz w:val="28"/>
          <w:szCs w:val="28"/>
        </w:rPr>
        <w:t>0</w:t>
      </w:r>
      <w:r w:rsidR="00E77FB8">
        <w:rPr>
          <w:rFonts w:ascii="Arial" w:hAnsi="Arial" w:cs="Arial"/>
          <w:b/>
          <w:spacing w:val="1"/>
          <w:sz w:val="28"/>
          <w:szCs w:val="28"/>
        </w:rPr>
        <w:t>5</w:t>
      </w:r>
      <w:r w:rsidR="00E600E8">
        <w:rPr>
          <w:rFonts w:ascii="Arial" w:hAnsi="Arial" w:cs="Arial"/>
          <w:b/>
          <w:spacing w:val="1"/>
          <w:sz w:val="28"/>
          <w:szCs w:val="28"/>
        </w:rPr>
        <w:t>.09</w:t>
      </w:r>
      <w:r w:rsidR="005414BA">
        <w:rPr>
          <w:rFonts w:ascii="Arial" w:hAnsi="Arial" w:cs="Arial"/>
          <w:b/>
          <w:spacing w:val="1"/>
          <w:sz w:val="28"/>
          <w:szCs w:val="28"/>
        </w:rPr>
        <w:t>.02016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891486" w:rsidRDefault="00891486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>
        <w:rPr>
          <w:rFonts w:ascii="Arial" w:hAnsi="Arial" w:cs="Arial"/>
          <w:sz w:val="28"/>
          <w:szCs w:val="28"/>
        </w:rPr>
        <w:t>® b</w:t>
      </w:r>
      <w:r w:rsidR="00745DED">
        <w:rPr>
          <w:rFonts w:ascii="Arial" w:hAnsi="Arial" w:cs="Arial"/>
          <w:sz w:val="28"/>
          <w:szCs w:val="28"/>
        </w:rPr>
        <w:t>ietet ab sofort</w:t>
      </w:r>
      <w:r w:rsidR="00025D7B">
        <w:rPr>
          <w:rFonts w:ascii="Arial" w:hAnsi="Arial" w:cs="Arial"/>
          <w:sz w:val="28"/>
          <w:szCs w:val="28"/>
        </w:rPr>
        <w:t xml:space="preserve"> USB Steckverbinder</w:t>
      </w:r>
      <w:r w:rsidR="00E140B1">
        <w:rPr>
          <w:rFonts w:ascii="Arial" w:hAnsi="Arial" w:cs="Arial"/>
          <w:sz w:val="28"/>
          <w:szCs w:val="28"/>
        </w:rPr>
        <w:t xml:space="preserve"> f</w:t>
      </w:r>
      <w:r w:rsidR="000C503B">
        <w:rPr>
          <w:rFonts w:ascii="Arial" w:hAnsi="Arial" w:cs="Arial"/>
          <w:sz w:val="28"/>
          <w:szCs w:val="28"/>
        </w:rPr>
        <w:t>ür raue</w:t>
      </w:r>
      <w:r>
        <w:rPr>
          <w:rFonts w:ascii="Arial" w:hAnsi="Arial" w:cs="Arial"/>
          <w:sz w:val="28"/>
          <w:szCs w:val="28"/>
        </w:rPr>
        <w:t xml:space="preserve"> Umgebungen</w:t>
      </w:r>
      <w:r w:rsidR="00745DED">
        <w:rPr>
          <w:rFonts w:ascii="Arial" w:hAnsi="Arial" w:cs="Arial"/>
          <w:sz w:val="28"/>
          <w:szCs w:val="28"/>
        </w:rPr>
        <w:t xml:space="preserve"> an</w:t>
      </w:r>
    </w:p>
    <w:p w:rsidR="00EB5698" w:rsidRPr="00D92B7B" w:rsidRDefault="005414BA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Schnell und einfach integrierbar</w:t>
      </w:r>
      <w:r w:rsidR="00E140B1">
        <w:rPr>
          <w:rFonts w:ascii="Arial" w:hAnsi="Arial" w:cs="Arial"/>
          <w:sz w:val="22"/>
          <w:szCs w:val="22"/>
        </w:rPr>
        <w:t>er IP67</w:t>
      </w:r>
      <w:r w:rsidR="00792495">
        <w:rPr>
          <w:rFonts w:ascii="Arial" w:hAnsi="Arial" w:cs="Arial"/>
          <w:sz w:val="22"/>
          <w:szCs w:val="22"/>
        </w:rPr>
        <w:t xml:space="preserve"> A-Typ</w:t>
      </w:r>
      <w:r w:rsidR="00E140B1">
        <w:rPr>
          <w:rFonts w:ascii="Arial" w:hAnsi="Arial" w:cs="Arial"/>
          <w:sz w:val="22"/>
          <w:szCs w:val="22"/>
        </w:rPr>
        <w:t xml:space="preserve"> USB 2.0 Stecker für </w:t>
      </w:r>
      <w:r>
        <w:rPr>
          <w:rFonts w:ascii="Arial" w:hAnsi="Arial" w:cs="Arial"/>
          <w:sz w:val="22"/>
          <w:szCs w:val="22"/>
        </w:rPr>
        <w:t>Gehäusesysteme</w:t>
      </w:r>
    </w:p>
    <w:p w:rsidR="005414BA" w:rsidRDefault="006643B2" w:rsidP="00541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C26EE">
        <w:rPr>
          <w:rFonts w:ascii="Arial" w:hAnsi="Arial" w:cs="Arial"/>
        </w:rPr>
        <w:t xml:space="preserve"> Richard</w:t>
      </w:r>
      <w:r>
        <w:rPr>
          <w:rFonts w:ascii="Arial" w:hAnsi="Arial" w:cs="Arial"/>
        </w:rPr>
        <w:t xml:space="preserve"> Wöhr GmbH</w:t>
      </w:r>
      <w:r w:rsidR="00E600E8">
        <w:rPr>
          <w:rFonts w:ascii="Arial" w:hAnsi="Arial" w:cs="Arial"/>
        </w:rPr>
        <w:t xml:space="preserve"> mit Sitz in Höfen</w:t>
      </w:r>
      <w:bookmarkStart w:id="0" w:name="_GoBack"/>
      <w:bookmarkEnd w:id="0"/>
      <w:r>
        <w:rPr>
          <w:rFonts w:ascii="Arial" w:hAnsi="Arial" w:cs="Arial"/>
        </w:rPr>
        <w:t xml:space="preserve"> hat mit einem neuen USB-Typ ihre Serie der USB-Steckverbindungen erweitert.</w:t>
      </w:r>
      <w:r w:rsidR="00792495">
        <w:rPr>
          <w:rFonts w:ascii="Arial" w:hAnsi="Arial" w:cs="Arial"/>
        </w:rPr>
        <w:t xml:space="preserve"> </w:t>
      </w:r>
      <w:r w:rsidR="005414BA" w:rsidRPr="008D45D8">
        <w:rPr>
          <w:rFonts w:ascii="Arial" w:hAnsi="Arial" w:cs="Arial"/>
        </w:rPr>
        <w:t>Er ist kompatibel</w:t>
      </w:r>
      <w:r w:rsidR="005414BA">
        <w:rPr>
          <w:rFonts w:ascii="Arial" w:hAnsi="Arial" w:cs="Arial"/>
        </w:rPr>
        <w:t xml:space="preserve"> mit nahezu allen Gehäusesystemen und </w:t>
      </w:r>
      <w:r w:rsidR="005414BA" w:rsidRPr="008D45D8">
        <w:rPr>
          <w:rFonts w:ascii="Arial" w:hAnsi="Arial" w:cs="Arial"/>
        </w:rPr>
        <w:t>kann in bestehende Anwendungen</w:t>
      </w:r>
      <w:r w:rsidR="005D11F3">
        <w:rPr>
          <w:rFonts w:ascii="Arial" w:hAnsi="Arial" w:cs="Arial"/>
        </w:rPr>
        <w:t xml:space="preserve"> schnell und</w:t>
      </w:r>
      <w:r w:rsidR="005414BA" w:rsidRPr="008D45D8">
        <w:rPr>
          <w:rFonts w:ascii="Arial" w:hAnsi="Arial" w:cs="Arial"/>
        </w:rPr>
        <w:t xml:space="preserve"> unkompliziert </w:t>
      </w:r>
      <w:r w:rsidR="005414BA">
        <w:rPr>
          <w:rFonts w:ascii="Arial" w:hAnsi="Arial" w:cs="Arial"/>
        </w:rPr>
        <w:t xml:space="preserve">montiert </w:t>
      </w:r>
      <w:r w:rsidR="005414BA" w:rsidRPr="008D45D8">
        <w:rPr>
          <w:rFonts w:ascii="Arial" w:hAnsi="Arial" w:cs="Arial"/>
        </w:rPr>
        <w:t xml:space="preserve">werden. </w:t>
      </w:r>
    </w:p>
    <w:p w:rsidR="005414BA" w:rsidRDefault="00BA5C11" w:rsidP="001469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hinaus bietet</w:t>
      </w:r>
      <w:r w:rsidR="00435C86">
        <w:rPr>
          <w:rFonts w:ascii="Arial" w:hAnsi="Arial" w:cs="Arial"/>
        </w:rPr>
        <w:t xml:space="preserve"> dieser Steckverbinder</w:t>
      </w:r>
      <w:r w:rsidR="005414BA">
        <w:rPr>
          <w:rFonts w:ascii="Arial" w:hAnsi="Arial" w:cs="Arial"/>
        </w:rPr>
        <w:t xml:space="preserve"> eine sichere USB-Verbindung für alle USB-Anwendung</w:t>
      </w:r>
      <w:r w:rsidR="006643B2">
        <w:rPr>
          <w:rFonts w:ascii="Arial" w:hAnsi="Arial" w:cs="Arial"/>
        </w:rPr>
        <w:t>en</w:t>
      </w:r>
      <w:r w:rsidR="005414BA">
        <w:rPr>
          <w:rFonts w:ascii="Arial" w:hAnsi="Arial" w:cs="Arial"/>
        </w:rPr>
        <w:t xml:space="preserve">, </w:t>
      </w:r>
      <w:r w:rsidR="00435C86">
        <w:rPr>
          <w:rFonts w:ascii="Arial" w:hAnsi="Arial" w:cs="Arial"/>
        </w:rPr>
        <w:t>welche</w:t>
      </w:r>
      <w:r w:rsidR="001469D2">
        <w:rPr>
          <w:rFonts w:ascii="Arial" w:hAnsi="Arial" w:cs="Arial"/>
        </w:rPr>
        <w:t xml:space="preserve"> den Bedingungen der Schutzklasse IP67 standhalten müssen. </w:t>
      </w:r>
    </w:p>
    <w:p w:rsidR="001E0B92" w:rsidRPr="008D45D8" w:rsidRDefault="001E0B92" w:rsidP="005414BA">
      <w:pPr>
        <w:spacing w:after="0"/>
        <w:jc w:val="both"/>
        <w:rPr>
          <w:rFonts w:ascii="Arial" w:hAnsi="Arial" w:cs="Arial"/>
        </w:rPr>
      </w:pPr>
    </w:p>
    <w:p w:rsidR="006643B2" w:rsidRDefault="00476C46" w:rsidP="00541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gibt zwei Varianten, wie der Stecker mit dem zu bedienenden Gerät verbunden werden kann</w:t>
      </w:r>
      <w:r w:rsidR="00BA218B">
        <w:rPr>
          <w:rFonts w:ascii="Arial" w:hAnsi="Arial" w:cs="Arial"/>
        </w:rPr>
        <w:t>:</w:t>
      </w:r>
    </w:p>
    <w:p w:rsidR="006643B2" w:rsidRDefault="006643B2" w:rsidP="005414BA">
      <w:pPr>
        <w:spacing w:after="0"/>
        <w:jc w:val="both"/>
        <w:rPr>
          <w:rFonts w:ascii="Arial" w:hAnsi="Arial" w:cs="Arial"/>
        </w:rPr>
      </w:pPr>
    </w:p>
    <w:p w:rsidR="006643B2" w:rsidRDefault="006643B2" w:rsidP="00541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erste Ausführung dient den Anwendungen ohne Lötbedarf und ist mit einer internen USB-Schnittstelle ausgestattet, wodurch sie ein hohes Maß an Flexibilität und Anpassung bietet.</w:t>
      </w:r>
      <w:r w:rsidR="00DA541C">
        <w:rPr>
          <w:rFonts w:ascii="Arial" w:hAnsi="Arial" w:cs="Arial"/>
        </w:rPr>
        <w:t xml:space="preserve"> Anschluss erfolgt Buchse zu Buchse (</w:t>
      </w:r>
      <w:r w:rsidR="00C32948">
        <w:rPr>
          <w:rFonts w:ascii="Arial" w:hAnsi="Arial" w:cs="Arial"/>
        </w:rPr>
        <w:t>USB-AnsV2/A-A</w:t>
      </w:r>
      <w:r w:rsidR="00DA541C">
        <w:rPr>
          <w:rFonts w:ascii="Arial" w:hAnsi="Arial" w:cs="Arial"/>
        </w:rPr>
        <w:t xml:space="preserve">). </w:t>
      </w:r>
    </w:p>
    <w:p w:rsidR="006643B2" w:rsidRDefault="006643B2" w:rsidP="005414BA">
      <w:pPr>
        <w:spacing w:after="0"/>
        <w:jc w:val="both"/>
        <w:rPr>
          <w:rFonts w:ascii="Arial" w:hAnsi="Arial" w:cs="Arial"/>
        </w:rPr>
      </w:pPr>
    </w:p>
    <w:p w:rsidR="00C86E55" w:rsidRDefault="006643B2" w:rsidP="005734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zweite Ausführung ist für Anwendungen gedacht, für</w:t>
      </w:r>
      <w:r w:rsidR="00476C46">
        <w:rPr>
          <w:rFonts w:ascii="Arial" w:hAnsi="Arial" w:cs="Arial"/>
        </w:rPr>
        <w:t xml:space="preserve"> welche</w:t>
      </w:r>
      <w:r>
        <w:rPr>
          <w:rFonts w:ascii="Arial" w:hAnsi="Arial" w:cs="Arial"/>
        </w:rPr>
        <w:t xml:space="preserve"> eine feste Lötverbindung hergestellt werden muss.</w:t>
      </w:r>
      <w:r w:rsidR="00225012">
        <w:rPr>
          <w:rFonts w:ascii="Arial" w:hAnsi="Arial" w:cs="Arial"/>
        </w:rPr>
        <w:t xml:space="preserve"> Sie</w:t>
      </w:r>
      <w:r w:rsidR="00476C46">
        <w:rPr>
          <w:rFonts w:ascii="Arial" w:hAnsi="Arial" w:cs="Arial"/>
        </w:rPr>
        <w:t xml:space="preserve"> beinhalte</w:t>
      </w:r>
      <w:r w:rsidR="00C86E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eine </w:t>
      </w:r>
      <w:r w:rsidR="00C86E55">
        <w:rPr>
          <w:rFonts w:ascii="Arial" w:hAnsi="Arial" w:cs="Arial"/>
        </w:rPr>
        <w:t>Buchse</w:t>
      </w:r>
      <w:r>
        <w:rPr>
          <w:rFonts w:ascii="Arial" w:hAnsi="Arial" w:cs="Arial"/>
        </w:rPr>
        <w:t xml:space="preserve"> für den Push-Pull-</w:t>
      </w:r>
      <w:r w:rsidR="00225012">
        <w:rPr>
          <w:rFonts w:ascii="Arial" w:hAnsi="Arial" w:cs="Arial"/>
        </w:rPr>
        <w:t>Verschluss</w:t>
      </w:r>
      <w:r w:rsidR="00DA541C">
        <w:rPr>
          <w:rFonts w:ascii="Arial" w:hAnsi="Arial" w:cs="Arial"/>
        </w:rPr>
        <w:t xml:space="preserve">. Anschluss erfolgt hier </w:t>
      </w:r>
      <w:r w:rsidR="00C32948">
        <w:rPr>
          <w:rFonts w:ascii="Arial" w:hAnsi="Arial" w:cs="Arial"/>
        </w:rPr>
        <w:t>Buchse zu Leiterplatte (</w:t>
      </w:r>
      <w:r w:rsidR="00277615">
        <w:rPr>
          <w:rFonts w:ascii="Arial" w:hAnsi="Arial" w:cs="Arial"/>
        </w:rPr>
        <w:t>ASB-AnsV2/A-L</w:t>
      </w:r>
      <w:r w:rsidR="00DA541C">
        <w:rPr>
          <w:rFonts w:ascii="Arial" w:hAnsi="Arial" w:cs="Arial"/>
        </w:rPr>
        <w:t xml:space="preserve">). </w:t>
      </w:r>
    </w:p>
    <w:p w:rsidR="00C86E55" w:rsidRDefault="00C86E55" w:rsidP="00573485">
      <w:pPr>
        <w:spacing w:after="0"/>
        <w:jc w:val="both"/>
        <w:rPr>
          <w:rFonts w:ascii="Arial" w:hAnsi="Arial" w:cs="Arial"/>
        </w:rPr>
      </w:pPr>
    </w:p>
    <w:p w:rsidR="00C86E55" w:rsidRDefault="00C86E55" w:rsidP="005734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beide Varianten kann zusätzlich eine Schutzkappe</w:t>
      </w:r>
      <w:r w:rsidR="00DA541C">
        <w:rPr>
          <w:rFonts w:ascii="Arial" w:hAnsi="Arial" w:cs="Arial"/>
        </w:rPr>
        <w:t xml:space="preserve"> (Art.-Nr. </w:t>
      </w:r>
      <w:r w:rsidR="00277615">
        <w:rPr>
          <w:rFonts w:ascii="Arial" w:hAnsi="Arial" w:cs="Arial"/>
        </w:rPr>
        <w:t>USB-ZubV6/SK01</w:t>
      </w:r>
      <w:r w:rsidR="00DA541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bestellt werden.</w:t>
      </w:r>
      <w:r w:rsidR="001469D2">
        <w:rPr>
          <w:rFonts w:ascii="Arial" w:hAnsi="Arial" w:cs="Arial"/>
        </w:rPr>
        <w:t xml:space="preserve"> Erst m</w:t>
      </w:r>
      <w:r w:rsidR="007C3447">
        <w:rPr>
          <w:rFonts w:ascii="Arial" w:hAnsi="Arial" w:cs="Arial"/>
        </w:rPr>
        <w:t>it Hilfe dieser Schutzkappe können</w:t>
      </w:r>
      <w:r w:rsidR="001469D2">
        <w:rPr>
          <w:rFonts w:ascii="Arial" w:hAnsi="Arial" w:cs="Arial"/>
        </w:rPr>
        <w:t xml:space="preserve"> der Push-Pull-Verschluss und Schutzart IP 67 realisiert werden. </w:t>
      </w:r>
    </w:p>
    <w:p w:rsidR="00C86E55" w:rsidRDefault="00C86E55" w:rsidP="00573485">
      <w:pPr>
        <w:spacing w:after="0"/>
        <w:jc w:val="both"/>
        <w:rPr>
          <w:rFonts w:ascii="Arial" w:hAnsi="Arial" w:cs="Arial"/>
        </w:rPr>
      </w:pPr>
    </w:p>
    <w:p w:rsidR="00EB5698" w:rsidRPr="005D3ED5" w:rsidRDefault="0073734C" w:rsidP="005001F3">
      <w:pPr>
        <w:spacing w:after="0"/>
        <w:jc w:val="both"/>
        <w:rPr>
          <w:rFonts w:ascii="Arial" w:hAnsi="Arial" w:cs="Arial"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2"/>
        <w:gridCol w:w="4086"/>
      </w:tblGrid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22501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Ausführung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22501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IP67</w:t>
            </w:r>
            <w:r w:rsidRPr="008D45D8">
              <w:rPr>
                <w:rFonts w:ascii="Arial" w:hAnsi="Arial" w:cs="Arial"/>
              </w:rPr>
              <w:t xml:space="preserve"> 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22501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Kontakte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225012" w:rsidP="00E17092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vergoldet</w:t>
            </w:r>
            <w:r w:rsidRPr="008D45D8">
              <w:rPr>
                <w:rFonts w:ascii="Arial" w:hAnsi="Arial" w:cs="Arial"/>
              </w:rPr>
              <w:t xml:space="preserve"> 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22501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Befestigung 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22501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Gehäuse </w:t>
            </w:r>
            <w:proofErr w:type="spellStart"/>
            <w:r>
              <w:rPr>
                <w:rFonts w:ascii="Arial" w:hAnsi="Arial" w:cs="Arial"/>
              </w:rPr>
              <w:t>montierbar</w:t>
            </w:r>
            <w:proofErr w:type="spellEnd"/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22501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A218B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xibilität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Default="0022501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Schnell-Entriegelungsverschluss</w:t>
            </w:r>
            <w:r w:rsidR="00596BE0">
              <w:rPr>
                <w:rFonts w:ascii="Arial" w:hAnsi="Arial" w:cs="Arial"/>
              </w:rPr>
              <w:t xml:space="preserve"> verfügbar</w:t>
            </w:r>
          </w:p>
        </w:tc>
      </w:tr>
    </w:tbl>
    <w:p w:rsidR="00DA541C" w:rsidRDefault="00DA541C" w:rsidP="001E0B92">
      <w:pPr>
        <w:spacing w:after="0" w:line="240" w:lineRule="auto"/>
        <w:rPr>
          <w:rFonts w:ascii="Arial" w:hAnsi="Arial" w:cs="Arial"/>
        </w:rPr>
      </w:pPr>
    </w:p>
    <w:p w:rsidR="001D1327" w:rsidRPr="00596BE0" w:rsidRDefault="001D1327" w:rsidP="00596BE0">
      <w:pPr>
        <w:spacing w:after="0" w:line="240" w:lineRule="auto"/>
        <w:rPr>
          <w:rStyle w:val="Hyperlink"/>
          <w:b w:val="0"/>
          <w:bCs w:val="0"/>
          <w:color w:val="auto"/>
          <w:sz w:val="22"/>
          <w:szCs w:val="22"/>
        </w:rPr>
      </w:pPr>
      <w:r w:rsidRPr="001D1327">
        <w:rPr>
          <w:rFonts w:ascii="Arial" w:hAnsi="Arial" w:cs="Arial"/>
        </w:rPr>
        <w:t>Weitere Informatio</w:t>
      </w:r>
      <w:r w:rsidR="00DA541C">
        <w:rPr>
          <w:rFonts w:ascii="Arial" w:hAnsi="Arial" w:cs="Arial"/>
        </w:rPr>
        <w:t>nen unter Zubehör – Einbaubuchsen –</w:t>
      </w:r>
      <w:r w:rsidR="00596BE0">
        <w:rPr>
          <w:rFonts w:ascii="Arial" w:hAnsi="Arial" w:cs="Arial"/>
        </w:rPr>
        <w:t xml:space="preserve">USB-Anschluss USB2.0 </w:t>
      </w:r>
      <w:r w:rsidR="00DA541C">
        <w:rPr>
          <w:rFonts w:ascii="Arial" w:hAnsi="Arial" w:cs="Arial"/>
        </w:rPr>
        <w:t xml:space="preserve">auf </w:t>
      </w:r>
      <w:r w:rsidR="00596BE0">
        <w:rPr>
          <w:rFonts w:ascii="Arial" w:hAnsi="Arial" w:cs="Arial"/>
        </w:rPr>
        <w:t xml:space="preserve"> </w:t>
      </w:r>
      <w:hyperlink r:id="rId9" w:history="1">
        <w:r w:rsidR="00DA541C" w:rsidRPr="005D07BE">
          <w:rPr>
            <w:rStyle w:val="Hyperlink"/>
            <w:b w:val="0"/>
            <w:color w:val="009DA2"/>
            <w:sz w:val="22"/>
            <w:szCs w:val="22"/>
          </w:rPr>
          <w:t>www.industriegehaeuse.de</w:t>
        </w:r>
      </w:hyperlink>
    </w:p>
    <w:p w:rsidR="00DA541C" w:rsidRPr="00D03F80" w:rsidRDefault="00DA541C" w:rsidP="001D1327">
      <w:pPr>
        <w:spacing w:after="0"/>
        <w:jc w:val="both"/>
        <w:rPr>
          <w:rFonts w:ascii="Arial" w:hAnsi="Arial" w:cs="Arial"/>
        </w:rPr>
      </w:pP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lastRenderedPageBreak/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</w:t>
      </w:r>
      <w:r w:rsidR="00E140B1" w:rsidRPr="008D45D8">
        <w:rPr>
          <w:rFonts w:ascii="Arial" w:hAnsi="Arial" w:cs="Arial"/>
        </w:rPr>
        <w:t>fertigt</w:t>
      </w:r>
      <w:r w:rsidRPr="008D45D8">
        <w:rPr>
          <w:rFonts w:ascii="Arial" w:hAnsi="Arial" w:cs="Arial"/>
        </w:rPr>
        <w:t xml:space="preserve">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</w:t>
      </w:r>
      <w:r w:rsidR="00DA541C">
        <w:rPr>
          <w:rFonts w:ascii="Arial" w:hAnsi="Arial" w:cs="Arial"/>
        </w:rPr>
        <w:t xml:space="preserve">riekomponenten für die Bereiche </w:t>
      </w:r>
      <w:r w:rsidR="001910B5" w:rsidRPr="008D45D8">
        <w:rPr>
          <w:rFonts w:ascii="Arial" w:hAnsi="Arial" w:cs="Arial"/>
        </w:rPr>
        <w:t xml:space="preserve">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8D45D8" w:rsidRDefault="00193AFE" w:rsidP="008D45D8">
      <w:pPr>
        <w:spacing w:after="0"/>
        <w:jc w:val="both"/>
        <w:rPr>
          <w:rFonts w:ascii="Arial" w:hAnsi="Arial" w:cs="Arial"/>
        </w:rPr>
      </w:pPr>
    </w:p>
    <w:p w:rsidR="00225012" w:rsidRPr="00225012" w:rsidRDefault="001910B5" w:rsidP="00EB5698">
      <w:pPr>
        <w:spacing w:after="0" w:line="360" w:lineRule="auto"/>
        <w:contextualSpacing/>
        <w:jc w:val="both"/>
        <w:rPr>
          <w:rStyle w:val="Hyperlink"/>
          <w:b w:val="0"/>
          <w:bCs w:val="0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="00552848" w:rsidRPr="00FD2BCA">
          <w:rPr>
            <w:rStyle w:val="Hyperlink"/>
            <w:color w:val="009DA2"/>
            <w:sz w:val="22"/>
            <w:szCs w:val="22"/>
          </w:rPr>
          <w:t>http://</w:t>
        </w:r>
      </w:hyperlink>
      <w:r w:rsidR="00225012">
        <w:rPr>
          <w:rStyle w:val="Hyperlink"/>
          <w:color w:val="009DA2"/>
          <w:sz w:val="22"/>
          <w:szCs w:val="22"/>
        </w:rPr>
        <w:t>www.woehrgmbh.de/de/aktuelles</w:t>
      </w:r>
      <w:r w:rsidR="00702DFB">
        <w:rPr>
          <w:rStyle w:val="Hyperlink"/>
          <w:color w:val="009DA2"/>
          <w:sz w:val="22"/>
          <w:szCs w:val="22"/>
        </w:rPr>
        <w:t>-presse/pressecenter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4" w:rsidRDefault="00F148A4" w:rsidP="003C1C57">
      <w:pPr>
        <w:spacing w:after="0" w:line="240" w:lineRule="auto"/>
      </w:pPr>
      <w:r>
        <w:separator/>
      </w:r>
    </w:p>
  </w:endnote>
  <w:end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4" w:rsidRDefault="00F148A4" w:rsidP="003C1C57">
      <w:pPr>
        <w:spacing w:after="0" w:line="240" w:lineRule="auto"/>
      </w:pPr>
      <w:r>
        <w:separator/>
      </w:r>
    </w:p>
  </w:footnote>
  <w:foot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Elsner">
    <w15:presenceInfo w15:providerId="AD" w15:userId="S-1-5-21-1414366876-1075460351-1585793234-3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5D7B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03B"/>
    <w:rsid w:val="000C53F7"/>
    <w:rsid w:val="000C5C40"/>
    <w:rsid w:val="000D2643"/>
    <w:rsid w:val="000D5567"/>
    <w:rsid w:val="000E6D3D"/>
    <w:rsid w:val="00106DB4"/>
    <w:rsid w:val="0011464F"/>
    <w:rsid w:val="0012777C"/>
    <w:rsid w:val="00127BA5"/>
    <w:rsid w:val="00141220"/>
    <w:rsid w:val="001469D2"/>
    <w:rsid w:val="001644D0"/>
    <w:rsid w:val="00166445"/>
    <w:rsid w:val="001677A3"/>
    <w:rsid w:val="00182759"/>
    <w:rsid w:val="001836AF"/>
    <w:rsid w:val="00184C7E"/>
    <w:rsid w:val="00190040"/>
    <w:rsid w:val="001910B5"/>
    <w:rsid w:val="00191AA8"/>
    <w:rsid w:val="00193AFE"/>
    <w:rsid w:val="001D1327"/>
    <w:rsid w:val="001E0B92"/>
    <w:rsid w:val="001E2027"/>
    <w:rsid w:val="001E5225"/>
    <w:rsid w:val="001F24BD"/>
    <w:rsid w:val="001F4D8E"/>
    <w:rsid w:val="00205956"/>
    <w:rsid w:val="002073E0"/>
    <w:rsid w:val="002127F1"/>
    <w:rsid w:val="00215694"/>
    <w:rsid w:val="00222D11"/>
    <w:rsid w:val="00225012"/>
    <w:rsid w:val="00267829"/>
    <w:rsid w:val="00277615"/>
    <w:rsid w:val="002A0EF9"/>
    <w:rsid w:val="002A36BB"/>
    <w:rsid w:val="002D3800"/>
    <w:rsid w:val="002E54EE"/>
    <w:rsid w:val="002E7A78"/>
    <w:rsid w:val="002F543D"/>
    <w:rsid w:val="0030328B"/>
    <w:rsid w:val="003078BA"/>
    <w:rsid w:val="0032151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61EC"/>
    <w:rsid w:val="003A0A2B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4EB6"/>
    <w:rsid w:val="00426728"/>
    <w:rsid w:val="00434979"/>
    <w:rsid w:val="00435162"/>
    <w:rsid w:val="00435C86"/>
    <w:rsid w:val="00453F96"/>
    <w:rsid w:val="00476C46"/>
    <w:rsid w:val="0049500A"/>
    <w:rsid w:val="004A2DE5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414BA"/>
    <w:rsid w:val="005520CA"/>
    <w:rsid w:val="00552848"/>
    <w:rsid w:val="00553689"/>
    <w:rsid w:val="00560426"/>
    <w:rsid w:val="00566160"/>
    <w:rsid w:val="0057153A"/>
    <w:rsid w:val="005718E5"/>
    <w:rsid w:val="00573485"/>
    <w:rsid w:val="00585E3C"/>
    <w:rsid w:val="00592105"/>
    <w:rsid w:val="00596BE0"/>
    <w:rsid w:val="005A20AD"/>
    <w:rsid w:val="005B501A"/>
    <w:rsid w:val="005C337A"/>
    <w:rsid w:val="005D07BE"/>
    <w:rsid w:val="005D11F3"/>
    <w:rsid w:val="005D3ED5"/>
    <w:rsid w:val="005D3FD1"/>
    <w:rsid w:val="005E28F3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43B2"/>
    <w:rsid w:val="00667B6C"/>
    <w:rsid w:val="00671E28"/>
    <w:rsid w:val="00673DCA"/>
    <w:rsid w:val="0067472F"/>
    <w:rsid w:val="006C26EE"/>
    <w:rsid w:val="006C2E57"/>
    <w:rsid w:val="006E55A4"/>
    <w:rsid w:val="00702DFB"/>
    <w:rsid w:val="00723E2A"/>
    <w:rsid w:val="00724DD8"/>
    <w:rsid w:val="00730F8A"/>
    <w:rsid w:val="0073734C"/>
    <w:rsid w:val="00745DED"/>
    <w:rsid w:val="00746628"/>
    <w:rsid w:val="007538ED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92495"/>
    <w:rsid w:val="007A4339"/>
    <w:rsid w:val="007B2E36"/>
    <w:rsid w:val="007C3447"/>
    <w:rsid w:val="007C4EA3"/>
    <w:rsid w:val="007C7867"/>
    <w:rsid w:val="007D16F5"/>
    <w:rsid w:val="007D2284"/>
    <w:rsid w:val="007D55E5"/>
    <w:rsid w:val="007D6803"/>
    <w:rsid w:val="007E7AE5"/>
    <w:rsid w:val="0082136F"/>
    <w:rsid w:val="008554E3"/>
    <w:rsid w:val="008728D7"/>
    <w:rsid w:val="0088233A"/>
    <w:rsid w:val="00891486"/>
    <w:rsid w:val="008960A1"/>
    <w:rsid w:val="008A3CAB"/>
    <w:rsid w:val="008B1FB7"/>
    <w:rsid w:val="008B669E"/>
    <w:rsid w:val="008C18C6"/>
    <w:rsid w:val="008C5A58"/>
    <w:rsid w:val="008C707D"/>
    <w:rsid w:val="008D45D8"/>
    <w:rsid w:val="008D4E0D"/>
    <w:rsid w:val="008D59E4"/>
    <w:rsid w:val="008E016E"/>
    <w:rsid w:val="008F063F"/>
    <w:rsid w:val="008F46A2"/>
    <w:rsid w:val="008F4B92"/>
    <w:rsid w:val="008F5FE4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091B"/>
    <w:rsid w:val="00A06376"/>
    <w:rsid w:val="00A521A4"/>
    <w:rsid w:val="00A815ED"/>
    <w:rsid w:val="00A874A1"/>
    <w:rsid w:val="00A95460"/>
    <w:rsid w:val="00AD169B"/>
    <w:rsid w:val="00AF2058"/>
    <w:rsid w:val="00AF70D9"/>
    <w:rsid w:val="00AF7D64"/>
    <w:rsid w:val="00B10086"/>
    <w:rsid w:val="00B1104F"/>
    <w:rsid w:val="00B17EF2"/>
    <w:rsid w:val="00B367A1"/>
    <w:rsid w:val="00B406E2"/>
    <w:rsid w:val="00B6309D"/>
    <w:rsid w:val="00B638AD"/>
    <w:rsid w:val="00B74941"/>
    <w:rsid w:val="00B757AB"/>
    <w:rsid w:val="00B956F7"/>
    <w:rsid w:val="00B9658D"/>
    <w:rsid w:val="00BA13D2"/>
    <w:rsid w:val="00BA218B"/>
    <w:rsid w:val="00BA5C11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2948"/>
    <w:rsid w:val="00C33408"/>
    <w:rsid w:val="00C546F7"/>
    <w:rsid w:val="00C579C1"/>
    <w:rsid w:val="00C61854"/>
    <w:rsid w:val="00C83289"/>
    <w:rsid w:val="00C86E55"/>
    <w:rsid w:val="00CA5188"/>
    <w:rsid w:val="00CC2766"/>
    <w:rsid w:val="00CC5172"/>
    <w:rsid w:val="00CE278B"/>
    <w:rsid w:val="00CE2F37"/>
    <w:rsid w:val="00CF2680"/>
    <w:rsid w:val="00CF3A61"/>
    <w:rsid w:val="00CF6616"/>
    <w:rsid w:val="00D03F80"/>
    <w:rsid w:val="00D07934"/>
    <w:rsid w:val="00D10BB7"/>
    <w:rsid w:val="00D120C4"/>
    <w:rsid w:val="00D3314B"/>
    <w:rsid w:val="00D506CF"/>
    <w:rsid w:val="00D60402"/>
    <w:rsid w:val="00D60845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A09BD"/>
    <w:rsid w:val="00DA0B82"/>
    <w:rsid w:val="00DA541C"/>
    <w:rsid w:val="00DB22C8"/>
    <w:rsid w:val="00DB4B0C"/>
    <w:rsid w:val="00DD3170"/>
    <w:rsid w:val="00DE0171"/>
    <w:rsid w:val="00DF564F"/>
    <w:rsid w:val="00E05E6D"/>
    <w:rsid w:val="00E0649E"/>
    <w:rsid w:val="00E071DD"/>
    <w:rsid w:val="00E112C0"/>
    <w:rsid w:val="00E13B08"/>
    <w:rsid w:val="00E140B1"/>
    <w:rsid w:val="00E20CB4"/>
    <w:rsid w:val="00E218B0"/>
    <w:rsid w:val="00E23429"/>
    <w:rsid w:val="00E25323"/>
    <w:rsid w:val="00E2718F"/>
    <w:rsid w:val="00E371BE"/>
    <w:rsid w:val="00E37689"/>
    <w:rsid w:val="00E44917"/>
    <w:rsid w:val="00E51B8F"/>
    <w:rsid w:val="00E600E8"/>
    <w:rsid w:val="00E66FCC"/>
    <w:rsid w:val="00E71CEA"/>
    <w:rsid w:val="00E76F9D"/>
    <w:rsid w:val="00E77FB8"/>
    <w:rsid w:val="00E82DFC"/>
    <w:rsid w:val="00E84F4A"/>
    <w:rsid w:val="00E8657C"/>
    <w:rsid w:val="00E93D35"/>
    <w:rsid w:val="00EB5698"/>
    <w:rsid w:val="00ED449F"/>
    <w:rsid w:val="00EE5875"/>
    <w:rsid w:val="00F1457A"/>
    <w:rsid w:val="00F148A4"/>
    <w:rsid w:val="00F15DBE"/>
    <w:rsid w:val="00F21696"/>
    <w:rsid w:val="00F26768"/>
    <w:rsid w:val="00F36704"/>
    <w:rsid w:val="00F519CD"/>
    <w:rsid w:val="00F61B90"/>
    <w:rsid w:val="00F62D7F"/>
    <w:rsid w:val="00F65C79"/>
    <w:rsid w:val="00F75853"/>
    <w:rsid w:val="00F85C1D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2A49-FB3E-478F-9A79-E0A8FD1E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14</cp:revision>
  <cp:lastPrinted>2015-06-16T13:40:00Z</cp:lastPrinted>
  <dcterms:created xsi:type="dcterms:W3CDTF">2016-07-19T10:00:00Z</dcterms:created>
  <dcterms:modified xsi:type="dcterms:W3CDTF">2016-09-01T05:49:00Z</dcterms:modified>
</cp:coreProperties>
</file>