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EinfacherAbsatz"/>
        <w:rPr>
          <w:rFonts w:ascii="Arial" w:hAnsi="Arial" w:cs="Arial"/>
          <w:spacing w:val="59"/>
          <w:sz w:val="28"/>
          <w:szCs w:val="28"/>
        </w:rPr>
      </w:pPr>
    </w:p>
    <w:p>
      <w:pPr>
        <w:pStyle w:val="EinfacherAbsatz"/>
        <w:rPr>
          <w:rFonts w:ascii="Arial" w:hAnsi="Arial" w:cs="Arial"/>
          <w:b/>
          <w:spacing w:val="1"/>
          <w:sz w:val="28"/>
          <w:szCs w:val="28"/>
        </w:rPr>
      </w:pPr>
      <w:r>
        <w:rPr>
          <w:rFonts w:ascii="Arial" w:hAnsi="Arial" w:cs="Arial"/>
          <w:b/>
          <w:spacing w:val="59"/>
          <w:sz w:val="28"/>
          <w:szCs w:val="28"/>
        </w:rPr>
        <w:t>PRESSEMELDUNG</w:t>
      </w:r>
      <w:r>
        <w:rPr>
          <w:rFonts w:ascii="Arial" w:hAnsi="Arial" w:cs="Arial"/>
          <w:b/>
          <w:spacing w:val="1"/>
          <w:sz w:val="28"/>
          <w:szCs w:val="28"/>
        </w:rPr>
        <w:t xml:space="preserve">  |   22.08.2023</w:t>
      </w:r>
    </w:p>
    <w:p>
      <w:pPr>
        <w:spacing w:after="0" w:line="240" w:lineRule="auto"/>
        <w:contextualSpacing/>
        <w:rPr>
          <w:rFonts w:ascii="StalemateLight" w:hAnsi="StalemateLight"/>
          <w:sz w:val="28"/>
          <w:szCs w:val="28"/>
        </w:rPr>
      </w:pPr>
    </w:p>
    <w:p>
      <w:pPr>
        <w:pStyle w:val="berschrift1"/>
        <w:spacing w:line="276" w:lineRule="auto"/>
        <w:rPr>
          <w:rFonts w:ascii="Arial" w:hAnsi="Arial" w:cs="Arial"/>
          <w:sz w:val="28"/>
          <w:szCs w:val="28"/>
        </w:rPr>
      </w:pPr>
      <w:r>
        <w:rPr>
          <w:rFonts w:ascii="Arial" w:hAnsi="Arial" w:cs="Arial"/>
          <w:sz w:val="28"/>
          <w:szCs w:val="28"/>
        </w:rPr>
        <w:t>Schutzklasse IP67 – neue Kunststoffgehäuse Serie KS136</w:t>
      </w:r>
    </w:p>
    <w:p>
      <w:pPr>
        <w:pStyle w:val="berschrift1"/>
        <w:spacing w:line="276" w:lineRule="auto"/>
        <w:rPr>
          <w:rFonts w:ascii="Arial" w:hAnsi="Arial" w:cs="Arial"/>
          <w:sz w:val="22"/>
          <w:szCs w:val="22"/>
        </w:rPr>
      </w:pPr>
      <w:r>
        <w:rPr>
          <w:rFonts w:ascii="Arial" w:hAnsi="Arial" w:cs="Arial"/>
          <w:sz w:val="22"/>
          <w:szCs w:val="22"/>
        </w:rPr>
        <w:t>Stromlinienförmiges Design für formschöne Pultgehäuse</w:t>
      </w:r>
    </w:p>
    <w:p>
      <w:pPr>
        <w:spacing w:after="0" w:line="360" w:lineRule="auto"/>
        <w:contextualSpacing/>
        <w:jc w:val="both"/>
        <w:rPr>
          <w:rStyle w:val="markedcontent"/>
          <w:rFonts w:ascii="Arial" w:hAnsi="Arial" w:cs="Arial"/>
        </w:rPr>
      </w:pPr>
      <w:r>
        <w:rPr>
          <w:rFonts w:ascii="Arial" w:hAnsi="Arial" w:cs="Arial"/>
          <w:noProof/>
          <w:spacing w:val="1"/>
          <w:szCs w:val="20"/>
        </w:rPr>
        <w:drawing>
          <wp:anchor distT="0" distB="0" distL="114300" distR="114300" simplePos="0" relativeHeight="251655680" behindDoc="1" locked="0" layoutInCell="1" allowOverlap="1">
            <wp:simplePos x="0" y="0"/>
            <wp:positionH relativeFrom="column">
              <wp:posOffset>-309245</wp:posOffset>
            </wp:positionH>
            <wp:positionV relativeFrom="paragraph">
              <wp:posOffset>2935234</wp:posOffset>
            </wp:positionV>
            <wp:extent cx="5595031" cy="30771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5031" cy="3077155"/>
                    </a:xfrm>
                    <a:prstGeom prst="rect">
                      <a:avLst/>
                    </a:prstGeom>
                    <a:noFill/>
                    <a:ln>
                      <a:noFill/>
                    </a:ln>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rFonts w:ascii="Arial" w:hAnsi="Arial" w:cs="Arial"/>
        </w:rPr>
        <w:t xml:space="preserve">Die Richard Wöhr GmbH mit Sitz in Höfen an der Enz, erweitert ihre Kunststoffgehäuse-Serie um die Gehäuse KS136. Sie können im Standard in schwarz (ähnlich RAL 9005) oder weiß (ähnlich RAL 9010) bezogen werden. Durch das Erreichen der Schutzart IP67 ist die Elektronik gegen Eindringen von Staub und Wasser auch unter extremen Bedingungen geschützt und ermöglicht den Einsatz auch im Außenbereich. Somit ist die neue formschöne Kunststoffgehäuse-Serie GH02KS136 vielseitig einsetzbar z.B. als Bedien- und Anzeigeeinheit für industrielle oder medizinische Anwendungen. Wöhr bietet die Serie mit der Neigung von 13° oder 18° und in unterschiedlichen Größen an (siehe Größentabelle). Das Gehäuse ist aus schwer entflammbarem ABS (UL94V-0) und die Dichtung aus Silikon. Im Lieferumfang enthalten sind Ober- und Unterschale, eine Dichtung, 4 Edelstahlschrauben M2.5-8 und 4 transparente Gummifüße. </w:t>
      </w:r>
      <w:r>
        <w:rPr>
          <w:rStyle w:val="markedcontent"/>
          <w:rFonts w:ascii="Arial" w:hAnsi="Arial" w:cs="Arial"/>
        </w:rPr>
        <w:t>Kundenspezifische und mechanische Bearbeitungen wie beispielsweiße Durchbrüche/ Bohrungen, passende Elektronik, eine Bedruckung im Digital- / Siebdruck oder Oberflächenveredelungen sind auf Anfrage möglich, so wie ein Eildienst mit 5,10 oder 15 Arbeitstagen. Die Richard Wöhr GmbH liefert ab Stückzahl 1.</w:t>
      </w:r>
    </w:p>
    <w:p>
      <w:pPr>
        <w:spacing w:after="0" w:line="360" w:lineRule="auto"/>
        <w:contextualSpacing/>
        <w:jc w:val="both"/>
        <w:rPr>
          <w:rStyle w:val="markedcontent"/>
          <w:rFonts w:ascii="Arial" w:hAnsi="Arial" w:cs="Arial"/>
        </w:rPr>
      </w:pPr>
    </w:p>
    <w:p>
      <w:pPr>
        <w:spacing w:after="0" w:line="360" w:lineRule="auto"/>
        <w:contextualSpacing/>
        <w:jc w:val="both"/>
        <w:rPr>
          <w:rStyle w:val="markedcontent"/>
          <w:rFonts w:ascii="Arial" w:hAnsi="Arial" w:cs="Arial"/>
        </w:rPr>
      </w:pPr>
    </w:p>
    <w:p>
      <w:pPr>
        <w:spacing w:after="0" w:line="360" w:lineRule="auto"/>
        <w:contextualSpacing/>
        <w:jc w:val="both"/>
        <w:rPr>
          <w:rStyle w:val="markedcontent"/>
          <w:rFonts w:ascii="Arial" w:hAnsi="Arial" w:cs="Arial"/>
        </w:rPr>
      </w:pPr>
    </w:p>
    <w:p>
      <w:pPr>
        <w:spacing w:after="0" w:line="360" w:lineRule="auto"/>
        <w:contextualSpacing/>
        <w:jc w:val="both"/>
        <w:rPr>
          <w:rStyle w:val="markedcontent"/>
          <w:rFonts w:ascii="Arial" w:hAnsi="Arial" w:cs="Arial"/>
        </w:rPr>
      </w:pPr>
    </w:p>
    <w:p>
      <w:pPr>
        <w:spacing w:after="0" w:line="360" w:lineRule="auto"/>
        <w:contextualSpacing/>
        <w:jc w:val="both"/>
        <w:rPr>
          <w:rStyle w:val="markedcontent"/>
          <w:rFonts w:ascii="Arial" w:hAnsi="Arial" w:cs="Arial"/>
        </w:rPr>
      </w:pPr>
    </w:p>
    <w:p>
      <w:pPr>
        <w:spacing w:after="0" w:line="360" w:lineRule="auto"/>
        <w:contextualSpacing/>
        <w:jc w:val="both"/>
        <w:rPr>
          <w:rStyle w:val="markedcontent"/>
          <w:rFonts w:ascii="Arial" w:hAnsi="Arial" w:cs="Arial"/>
        </w:rPr>
      </w:pPr>
    </w:p>
    <w:p>
      <w:pPr>
        <w:spacing w:after="0" w:line="360" w:lineRule="auto"/>
        <w:contextualSpacing/>
        <w:jc w:val="both"/>
        <w:rPr>
          <w:rStyle w:val="markedcontent"/>
          <w:rFonts w:ascii="Arial" w:hAnsi="Arial" w:cs="Arial"/>
        </w:rPr>
      </w:pPr>
    </w:p>
    <w:p>
      <w:pPr>
        <w:spacing w:after="0" w:line="360" w:lineRule="auto"/>
        <w:contextualSpacing/>
        <w:jc w:val="both"/>
        <w:rPr>
          <w:rStyle w:val="markedcontent"/>
          <w:rFonts w:ascii="Arial" w:hAnsi="Arial" w:cs="Arial"/>
        </w:rPr>
      </w:pPr>
      <w:r>
        <w:rPr>
          <w:noProof/>
        </w:rPr>
        <w:drawing>
          <wp:anchor distT="0" distB="0" distL="114300" distR="114300" simplePos="0" relativeHeight="251665920" behindDoc="1" locked="0" layoutInCell="1" allowOverlap="1">
            <wp:simplePos x="0" y="0"/>
            <wp:positionH relativeFrom="column">
              <wp:posOffset>2985246</wp:posOffset>
            </wp:positionH>
            <wp:positionV relativeFrom="paragraph">
              <wp:posOffset>83185</wp:posOffset>
            </wp:positionV>
            <wp:extent cx="3230308" cy="1838077"/>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230308" cy="1838077"/>
                    </a:xfrm>
                    <a:prstGeom prst="rect">
                      <a:avLst/>
                    </a:prstGeom>
                  </pic:spPr>
                </pic:pic>
              </a:graphicData>
            </a:graphic>
            <wp14:sizeRelH relativeFrom="margin">
              <wp14:pctWidth>0</wp14:pctWidth>
            </wp14:sizeRelH>
            <wp14:sizeRelV relativeFrom="margin">
              <wp14:pctHeight>0</wp14:pctHeight>
            </wp14:sizeRelV>
          </wp:anchor>
        </w:drawing>
      </w:r>
    </w:p>
    <w:p>
      <w:pPr>
        <w:spacing w:after="0" w:line="360" w:lineRule="auto"/>
        <w:contextualSpacing/>
        <w:jc w:val="both"/>
        <w:rPr>
          <w:rStyle w:val="markedcontent"/>
          <w:rFonts w:ascii="Arial" w:hAnsi="Arial" w:cs="Arial"/>
        </w:rPr>
      </w:pPr>
    </w:p>
    <w:p>
      <w:pPr>
        <w:spacing w:after="0" w:line="360" w:lineRule="auto"/>
        <w:contextualSpacing/>
        <w:jc w:val="both"/>
        <w:rPr>
          <w:rStyle w:val="markedcontent"/>
          <w:rFonts w:ascii="Arial" w:hAnsi="Arial" w:cs="Arial"/>
        </w:rPr>
      </w:pPr>
    </w:p>
    <w:p>
      <w:pPr>
        <w:spacing w:after="0" w:line="360" w:lineRule="auto"/>
        <w:contextualSpacing/>
        <w:jc w:val="both"/>
        <w:rPr>
          <w:rStyle w:val="markedcontent"/>
          <w:rFonts w:ascii="Arial" w:hAnsi="Arial" w:cs="Arial"/>
        </w:rPr>
      </w:pPr>
    </w:p>
    <w:p>
      <w:pPr>
        <w:spacing w:after="0" w:line="360" w:lineRule="auto"/>
        <w:contextualSpacing/>
        <w:jc w:val="both"/>
        <w:rPr>
          <w:rStyle w:val="markedcontent"/>
          <w:rFonts w:ascii="Arial" w:hAnsi="Arial" w:cs="Arial"/>
        </w:rPr>
      </w:pPr>
    </w:p>
    <w:p>
      <w:pPr>
        <w:spacing w:after="0" w:line="360" w:lineRule="auto"/>
        <w:contextualSpacing/>
        <w:jc w:val="both"/>
        <w:rPr>
          <w:rStyle w:val="markedcontent"/>
          <w:rFonts w:ascii="Arial" w:hAnsi="Arial" w:cs="Arial"/>
        </w:rPr>
      </w:pPr>
    </w:p>
    <w:p>
      <w:pPr>
        <w:spacing w:after="0" w:line="360" w:lineRule="auto"/>
        <w:contextualSpacing/>
        <w:jc w:val="both"/>
        <w:rPr>
          <w:rStyle w:val="markedcontent"/>
          <w:rFonts w:ascii="Arial" w:hAnsi="Arial" w:cs="Arial"/>
        </w:rPr>
      </w:pPr>
    </w:p>
    <w:p>
      <w:pPr>
        <w:spacing w:after="0" w:line="360" w:lineRule="auto"/>
        <w:contextualSpacing/>
      </w:pPr>
      <w:r>
        <w:rPr>
          <w:rFonts w:ascii="Arial" w:hAnsi="Arial" w:cs="Arial"/>
        </w:rPr>
        <w:lastRenderedPageBreak/>
        <w:t>Weitere Informationen zur Kunststoffgehäuse Serie erhalten Sie unter:</w:t>
      </w:r>
      <w:r>
        <w:t xml:space="preserve"> </w:t>
      </w:r>
    </w:p>
    <w:p>
      <w:pPr>
        <w:spacing w:after="0"/>
        <w:jc w:val="both"/>
        <w:rPr>
          <w:rFonts w:ascii="Arial" w:hAnsi="Arial" w:cs="Arial"/>
          <w:b/>
          <w:bCs/>
          <w:color w:val="009DA2"/>
        </w:rPr>
      </w:pPr>
      <w:hyperlink r:id="rId11" w:history="1">
        <w:r>
          <w:rPr>
            <w:rStyle w:val="Hyperlink"/>
            <w:color w:val="009DA2"/>
            <w:sz w:val="22"/>
            <w:szCs w:val="22"/>
          </w:rPr>
          <w:t>https://www.industriegehaeuse.de/kunststoff-gehaeuse/kunststoff-gehaeuse-serie-gh02/kunststoffgehaeuse-ks136/</w:t>
        </w:r>
      </w:hyperlink>
    </w:p>
    <w:p>
      <w:pPr>
        <w:spacing w:after="0" w:line="360" w:lineRule="auto"/>
        <w:contextualSpacing/>
        <w:jc w:val="both"/>
        <w:rPr>
          <w:rFonts w:ascii="Arial" w:hAnsi="Arial" w:cs="Arial"/>
        </w:rPr>
      </w:pPr>
    </w:p>
    <w:p>
      <w:pPr>
        <w:spacing w:after="0" w:line="360" w:lineRule="auto"/>
        <w:contextualSpacing/>
        <w:jc w:val="both"/>
        <w:rPr>
          <w:rStyle w:val="markedcontent"/>
          <w:rFonts w:ascii="Arial" w:hAnsi="Arial" w:cs="Arial"/>
        </w:rPr>
      </w:pPr>
    </w:p>
    <w:p>
      <w:pPr>
        <w:spacing w:after="0" w:line="360" w:lineRule="auto"/>
        <w:contextualSpacing/>
        <w:jc w:val="both"/>
        <w:rPr>
          <w:rStyle w:val="markedcontent"/>
          <w:rFonts w:ascii="Arial" w:hAnsi="Arial" w:cs="Arial"/>
        </w:rPr>
      </w:pPr>
      <w:r>
        <w:rPr>
          <w:rStyle w:val="markedcontent"/>
          <w:rFonts w:ascii="Arial" w:hAnsi="Arial" w:cs="Arial"/>
        </w:rPr>
        <w:t>Größentabelle Pultgehäuse KS136:</w:t>
      </w:r>
    </w:p>
    <w:tbl>
      <w:tblPr>
        <w:tblStyle w:val="Tabellenraster"/>
        <w:tblW w:w="10437" w:type="dxa"/>
        <w:tblLook w:val="04A0" w:firstRow="1" w:lastRow="0" w:firstColumn="1" w:lastColumn="0" w:noHBand="0" w:noVBand="1"/>
      </w:tblPr>
      <w:tblGrid>
        <w:gridCol w:w="1059"/>
        <w:gridCol w:w="328"/>
        <w:gridCol w:w="1072"/>
        <w:gridCol w:w="384"/>
        <w:gridCol w:w="850"/>
        <w:gridCol w:w="433"/>
        <w:gridCol w:w="953"/>
        <w:gridCol w:w="2034"/>
        <w:gridCol w:w="249"/>
        <w:gridCol w:w="293"/>
        <w:gridCol w:w="249"/>
        <w:gridCol w:w="1589"/>
        <w:gridCol w:w="932"/>
        <w:gridCol w:w="12"/>
      </w:tblGrid>
      <w:tr>
        <w:trPr>
          <w:gridAfter w:val="1"/>
          <w:wAfter w:w="12" w:type="dxa"/>
          <w:trHeight w:val="577"/>
        </w:trPr>
        <w:tc>
          <w:tcPr>
            <w:tcW w:w="3693"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pPr>
              <w:spacing w:after="0" w:line="360" w:lineRule="auto"/>
              <w:contextualSpacing/>
              <w:rPr>
                <w:rStyle w:val="markedcontent"/>
                <w:rFonts w:ascii="Arial" w:hAnsi="Arial" w:cs="Arial"/>
                <w:b/>
                <w:bCs/>
                <w:sz w:val="18"/>
                <w:szCs w:val="18"/>
              </w:rPr>
            </w:pPr>
            <w:r>
              <w:rPr>
                <w:rStyle w:val="markedcontent"/>
                <w:rFonts w:ascii="Arial" w:hAnsi="Arial" w:cs="Arial"/>
                <w:b/>
                <w:bCs/>
                <w:sz w:val="18"/>
                <w:szCs w:val="18"/>
              </w:rPr>
              <w:br/>
              <w:t>Außenmaße (mm):</w:t>
            </w:r>
          </w:p>
        </w:tc>
        <w:tc>
          <w:tcPr>
            <w:tcW w:w="433" w:type="dxa"/>
            <w:tcBorders>
              <w:top w:val="single" w:sz="4" w:space="0" w:color="auto"/>
              <w:left w:val="nil"/>
              <w:bottom w:val="single" w:sz="4" w:space="0" w:color="auto"/>
              <w:right w:val="nil"/>
            </w:tcBorders>
            <w:shd w:val="clear" w:color="auto" w:fill="F2F2F2" w:themeFill="background1" w:themeFillShade="F2"/>
          </w:tcPr>
          <w:p>
            <w:pPr>
              <w:spacing w:after="0" w:line="360" w:lineRule="auto"/>
              <w:contextualSpacing/>
              <w:rPr>
                <w:rStyle w:val="markedcontent"/>
                <w:rFonts w:ascii="Arial" w:hAnsi="Arial" w:cs="Arial"/>
                <w:b/>
                <w:bCs/>
                <w:sz w:val="18"/>
                <w:szCs w:val="18"/>
              </w:rPr>
            </w:pPr>
          </w:p>
        </w:tc>
        <w:tc>
          <w:tcPr>
            <w:tcW w:w="953" w:type="dxa"/>
            <w:tcBorders>
              <w:top w:val="single" w:sz="4" w:space="0" w:color="auto"/>
              <w:left w:val="nil"/>
              <w:bottom w:val="single" w:sz="4" w:space="0" w:color="auto"/>
              <w:right w:val="single" w:sz="4" w:space="0" w:color="auto"/>
            </w:tcBorders>
            <w:shd w:val="clear" w:color="auto" w:fill="F2F2F2" w:themeFill="background1" w:themeFillShade="F2"/>
          </w:tcPr>
          <w:p>
            <w:pPr>
              <w:spacing w:after="0" w:line="360" w:lineRule="auto"/>
              <w:contextualSpacing/>
              <w:rPr>
                <w:rStyle w:val="markedcontent"/>
                <w:rFonts w:ascii="Arial" w:hAnsi="Arial" w:cs="Arial"/>
                <w:b/>
                <w:bCs/>
                <w:sz w:val="18"/>
                <w:szCs w:val="18"/>
              </w:rPr>
            </w:pPr>
          </w:p>
        </w:tc>
        <w:tc>
          <w:tcPr>
            <w:tcW w:w="2034" w:type="dxa"/>
            <w:tcBorders>
              <w:left w:val="single" w:sz="4" w:space="0" w:color="auto"/>
              <w:bottom w:val="nil"/>
              <w:right w:val="nil"/>
            </w:tcBorders>
            <w:shd w:val="clear" w:color="auto" w:fill="F2F2F2" w:themeFill="background1" w:themeFillShade="F2"/>
            <w:vAlign w:val="center"/>
          </w:tcPr>
          <w:p>
            <w:pPr>
              <w:spacing w:after="0" w:line="360" w:lineRule="auto"/>
              <w:contextualSpacing/>
              <w:rPr>
                <w:rStyle w:val="markedcontent"/>
                <w:rFonts w:ascii="Arial" w:hAnsi="Arial" w:cs="Arial"/>
                <w:b/>
                <w:bCs/>
                <w:sz w:val="18"/>
                <w:szCs w:val="18"/>
              </w:rPr>
            </w:pPr>
            <w:r>
              <w:rPr>
                <w:rStyle w:val="markedcontent"/>
                <w:rFonts w:ascii="Arial" w:hAnsi="Arial" w:cs="Arial"/>
                <w:b/>
                <w:bCs/>
                <w:sz w:val="18"/>
                <w:szCs w:val="18"/>
              </w:rPr>
              <w:br/>
              <w:t>Beschreibung:</w:t>
            </w:r>
          </w:p>
        </w:tc>
        <w:tc>
          <w:tcPr>
            <w:tcW w:w="249" w:type="dxa"/>
            <w:tcBorders>
              <w:top w:val="single" w:sz="4" w:space="0" w:color="auto"/>
              <w:left w:val="nil"/>
              <w:bottom w:val="nil"/>
              <w:right w:val="nil"/>
            </w:tcBorders>
            <w:shd w:val="clear" w:color="auto" w:fill="F2F2F2" w:themeFill="background1" w:themeFillShade="F2"/>
            <w:vAlign w:val="center"/>
          </w:tcPr>
          <w:p>
            <w:pPr>
              <w:spacing w:after="0" w:line="360" w:lineRule="auto"/>
              <w:contextualSpacing/>
              <w:rPr>
                <w:rStyle w:val="markedcontent"/>
                <w:rFonts w:ascii="Arial" w:hAnsi="Arial" w:cs="Arial"/>
                <w:b/>
                <w:bCs/>
                <w:sz w:val="18"/>
                <w:szCs w:val="18"/>
              </w:rPr>
            </w:pPr>
          </w:p>
        </w:tc>
        <w:tc>
          <w:tcPr>
            <w:tcW w:w="293" w:type="dxa"/>
            <w:tcBorders>
              <w:top w:val="single" w:sz="4" w:space="0" w:color="auto"/>
              <w:left w:val="nil"/>
              <w:bottom w:val="nil"/>
              <w:right w:val="nil"/>
            </w:tcBorders>
            <w:shd w:val="clear" w:color="auto" w:fill="F2F2F2" w:themeFill="background1" w:themeFillShade="F2"/>
            <w:vAlign w:val="center"/>
          </w:tcPr>
          <w:p>
            <w:pPr>
              <w:spacing w:after="0" w:line="360" w:lineRule="auto"/>
              <w:contextualSpacing/>
              <w:rPr>
                <w:rStyle w:val="markedcontent"/>
                <w:rFonts w:ascii="Arial" w:hAnsi="Arial" w:cs="Arial"/>
                <w:b/>
                <w:bCs/>
                <w:sz w:val="18"/>
                <w:szCs w:val="18"/>
              </w:rPr>
            </w:pPr>
          </w:p>
        </w:tc>
        <w:tc>
          <w:tcPr>
            <w:tcW w:w="249" w:type="dxa"/>
            <w:tcBorders>
              <w:top w:val="single" w:sz="4" w:space="0" w:color="auto"/>
              <w:left w:val="nil"/>
              <w:bottom w:val="nil"/>
              <w:right w:val="nil"/>
            </w:tcBorders>
            <w:shd w:val="clear" w:color="auto" w:fill="F2F2F2" w:themeFill="background1" w:themeFillShade="F2"/>
            <w:vAlign w:val="center"/>
          </w:tcPr>
          <w:p>
            <w:pPr>
              <w:spacing w:after="0" w:line="360" w:lineRule="auto"/>
              <w:contextualSpacing/>
              <w:rPr>
                <w:rStyle w:val="markedcontent"/>
                <w:rFonts w:ascii="Arial" w:hAnsi="Arial" w:cs="Arial"/>
                <w:b/>
                <w:bCs/>
                <w:sz w:val="18"/>
                <w:szCs w:val="18"/>
              </w:rPr>
            </w:pPr>
          </w:p>
        </w:tc>
        <w:tc>
          <w:tcPr>
            <w:tcW w:w="1589" w:type="dxa"/>
            <w:tcBorders>
              <w:top w:val="single" w:sz="4" w:space="0" w:color="auto"/>
              <w:left w:val="nil"/>
              <w:bottom w:val="nil"/>
              <w:right w:val="single" w:sz="4" w:space="0" w:color="auto"/>
            </w:tcBorders>
            <w:shd w:val="clear" w:color="auto" w:fill="F2F2F2" w:themeFill="background1" w:themeFillShade="F2"/>
          </w:tcPr>
          <w:p>
            <w:pPr>
              <w:spacing w:after="0" w:line="360" w:lineRule="auto"/>
              <w:contextualSpacing/>
              <w:rPr>
                <w:rStyle w:val="markedcontent"/>
                <w:rFonts w:ascii="Arial" w:hAnsi="Arial" w:cs="Arial"/>
                <w:b/>
                <w:bCs/>
                <w:sz w:val="18"/>
                <w:szCs w:val="18"/>
              </w:rPr>
            </w:pPr>
          </w:p>
        </w:tc>
        <w:tc>
          <w:tcPr>
            <w:tcW w:w="932" w:type="dxa"/>
            <w:tcBorders>
              <w:top w:val="single" w:sz="4" w:space="0" w:color="auto"/>
              <w:left w:val="nil"/>
              <w:bottom w:val="nil"/>
              <w:right w:val="single" w:sz="4" w:space="0" w:color="auto"/>
            </w:tcBorders>
            <w:shd w:val="clear" w:color="auto" w:fill="F2F2F2" w:themeFill="background1" w:themeFillShade="F2"/>
          </w:tcPr>
          <w:p>
            <w:pPr>
              <w:spacing w:after="0" w:line="360" w:lineRule="auto"/>
              <w:contextualSpacing/>
              <w:rPr>
                <w:rStyle w:val="markedcontent"/>
                <w:rFonts w:ascii="Arial" w:hAnsi="Arial" w:cs="Arial"/>
                <w:b/>
                <w:bCs/>
                <w:sz w:val="18"/>
                <w:szCs w:val="18"/>
              </w:rPr>
            </w:pPr>
            <w:r>
              <w:rPr>
                <w:rStyle w:val="markedcontent"/>
                <w:rFonts w:ascii="Arial" w:hAnsi="Arial" w:cs="Arial"/>
                <w:b/>
                <w:bCs/>
                <w:sz w:val="18"/>
                <w:szCs w:val="18"/>
              </w:rPr>
              <w:br/>
              <w:t>Winkel:</w:t>
            </w:r>
          </w:p>
        </w:tc>
      </w:tr>
      <w:tr>
        <w:trPr>
          <w:trHeight w:val="303"/>
        </w:trPr>
        <w:tc>
          <w:tcPr>
            <w:tcW w:w="1059" w:type="dxa"/>
            <w:tcBorders>
              <w:top w:val="single" w:sz="4" w:space="0" w:color="auto"/>
            </w:tcBorders>
            <w:shd w:val="clear" w:color="auto" w:fill="F2F2F2" w:themeFill="background1" w:themeFillShade="F2"/>
            <w:vAlign w:val="center"/>
          </w:tcPr>
          <w:p>
            <w:pPr>
              <w:spacing w:after="0" w:line="360" w:lineRule="auto"/>
              <w:contextualSpacing/>
              <w:jc w:val="center"/>
              <w:rPr>
                <w:rStyle w:val="markedcontent"/>
                <w:rFonts w:ascii="Arial" w:hAnsi="Arial" w:cs="Arial"/>
                <w:b/>
                <w:bCs/>
                <w:sz w:val="18"/>
                <w:szCs w:val="18"/>
              </w:rPr>
            </w:pPr>
            <w:r>
              <w:rPr>
                <w:rStyle w:val="markedcontent"/>
                <w:rFonts w:ascii="Arial" w:hAnsi="Arial" w:cs="Arial"/>
                <w:b/>
                <w:bCs/>
                <w:sz w:val="18"/>
                <w:szCs w:val="18"/>
              </w:rPr>
              <w:t>Höhe1:</w:t>
            </w:r>
          </w:p>
        </w:tc>
        <w:tc>
          <w:tcPr>
            <w:tcW w:w="328" w:type="dxa"/>
            <w:tcBorders>
              <w:top w:val="single" w:sz="4" w:space="0" w:color="auto"/>
            </w:tcBorders>
            <w:shd w:val="clear" w:color="auto" w:fill="F2F2F2" w:themeFill="background1" w:themeFillShade="F2"/>
            <w:vAlign w:val="center"/>
          </w:tcPr>
          <w:p>
            <w:pPr>
              <w:spacing w:after="0" w:line="360" w:lineRule="auto"/>
              <w:contextualSpacing/>
              <w:jc w:val="center"/>
              <w:rPr>
                <w:rStyle w:val="markedcontent"/>
                <w:rFonts w:ascii="Arial" w:hAnsi="Arial" w:cs="Arial"/>
                <w:b/>
                <w:bCs/>
                <w:sz w:val="18"/>
                <w:szCs w:val="18"/>
              </w:rPr>
            </w:pPr>
            <w:r>
              <w:rPr>
                <w:rStyle w:val="markedcontent"/>
                <w:rFonts w:ascii="Arial" w:hAnsi="Arial" w:cs="Arial"/>
                <w:b/>
                <w:bCs/>
                <w:sz w:val="18"/>
                <w:szCs w:val="18"/>
              </w:rPr>
              <w:t>x</w:t>
            </w:r>
          </w:p>
        </w:tc>
        <w:tc>
          <w:tcPr>
            <w:tcW w:w="1072" w:type="dxa"/>
            <w:tcBorders>
              <w:top w:val="single" w:sz="4" w:space="0" w:color="auto"/>
            </w:tcBorders>
            <w:shd w:val="clear" w:color="auto" w:fill="F2F2F2" w:themeFill="background1" w:themeFillShade="F2"/>
            <w:vAlign w:val="center"/>
          </w:tcPr>
          <w:p>
            <w:pPr>
              <w:spacing w:after="0" w:line="360" w:lineRule="auto"/>
              <w:contextualSpacing/>
              <w:jc w:val="center"/>
              <w:rPr>
                <w:rStyle w:val="markedcontent"/>
                <w:rFonts w:ascii="Arial" w:hAnsi="Arial" w:cs="Arial"/>
                <w:b/>
                <w:bCs/>
                <w:sz w:val="18"/>
                <w:szCs w:val="18"/>
              </w:rPr>
            </w:pPr>
            <w:r>
              <w:rPr>
                <w:rStyle w:val="markedcontent"/>
                <w:rFonts w:ascii="Arial" w:hAnsi="Arial" w:cs="Arial"/>
                <w:b/>
                <w:bCs/>
                <w:sz w:val="18"/>
                <w:szCs w:val="18"/>
              </w:rPr>
              <w:t>Höhe2:</w:t>
            </w:r>
          </w:p>
        </w:tc>
        <w:tc>
          <w:tcPr>
            <w:tcW w:w="384" w:type="dxa"/>
            <w:tcBorders>
              <w:top w:val="single" w:sz="4" w:space="0" w:color="auto"/>
            </w:tcBorders>
            <w:shd w:val="clear" w:color="auto" w:fill="F2F2F2" w:themeFill="background1" w:themeFillShade="F2"/>
            <w:vAlign w:val="center"/>
          </w:tcPr>
          <w:p>
            <w:pPr>
              <w:spacing w:after="0" w:line="360" w:lineRule="auto"/>
              <w:contextualSpacing/>
              <w:jc w:val="center"/>
              <w:rPr>
                <w:rStyle w:val="markedcontent"/>
                <w:rFonts w:ascii="Arial" w:hAnsi="Arial" w:cs="Arial"/>
                <w:b/>
                <w:bCs/>
                <w:sz w:val="18"/>
                <w:szCs w:val="18"/>
              </w:rPr>
            </w:pPr>
            <w:r>
              <w:rPr>
                <w:rStyle w:val="markedcontent"/>
                <w:rFonts w:ascii="Arial" w:hAnsi="Arial" w:cs="Arial"/>
                <w:b/>
                <w:bCs/>
                <w:sz w:val="18"/>
                <w:szCs w:val="18"/>
              </w:rPr>
              <w:t>x</w:t>
            </w:r>
          </w:p>
        </w:tc>
        <w:tc>
          <w:tcPr>
            <w:tcW w:w="850" w:type="dxa"/>
            <w:tcBorders>
              <w:top w:val="single" w:sz="4" w:space="0" w:color="auto"/>
              <w:right w:val="single" w:sz="4" w:space="0" w:color="auto"/>
            </w:tcBorders>
            <w:shd w:val="clear" w:color="auto" w:fill="F2F2F2" w:themeFill="background1" w:themeFillShade="F2"/>
            <w:vAlign w:val="center"/>
          </w:tcPr>
          <w:p>
            <w:pPr>
              <w:spacing w:after="0" w:line="360" w:lineRule="auto"/>
              <w:contextualSpacing/>
              <w:jc w:val="center"/>
              <w:rPr>
                <w:rStyle w:val="markedcontent"/>
                <w:rFonts w:ascii="Arial" w:hAnsi="Arial" w:cs="Arial"/>
                <w:b/>
                <w:bCs/>
                <w:sz w:val="18"/>
                <w:szCs w:val="18"/>
              </w:rPr>
            </w:pPr>
            <w:r>
              <w:rPr>
                <w:rStyle w:val="markedcontent"/>
                <w:rFonts w:ascii="Arial" w:hAnsi="Arial" w:cs="Arial"/>
                <w:b/>
                <w:bCs/>
                <w:sz w:val="18"/>
                <w:szCs w:val="18"/>
              </w:rPr>
              <w:t>Breite:</w:t>
            </w:r>
          </w:p>
        </w:tc>
        <w:tc>
          <w:tcPr>
            <w:tcW w:w="433" w:type="dxa"/>
            <w:tcBorders>
              <w:top w:val="single" w:sz="4" w:space="0" w:color="auto"/>
              <w:right w:val="single" w:sz="4" w:space="0" w:color="auto"/>
            </w:tcBorders>
            <w:shd w:val="clear" w:color="auto" w:fill="F2F2F2" w:themeFill="background1" w:themeFillShade="F2"/>
            <w:vAlign w:val="center"/>
          </w:tcPr>
          <w:p>
            <w:pPr>
              <w:spacing w:after="0" w:line="360" w:lineRule="auto"/>
              <w:contextualSpacing/>
              <w:jc w:val="center"/>
              <w:rPr>
                <w:rStyle w:val="markedcontent"/>
                <w:rFonts w:ascii="Arial" w:hAnsi="Arial" w:cs="Arial"/>
                <w:b/>
                <w:bCs/>
                <w:sz w:val="18"/>
                <w:szCs w:val="18"/>
              </w:rPr>
            </w:pPr>
            <w:r>
              <w:rPr>
                <w:rStyle w:val="markedcontent"/>
                <w:rFonts w:ascii="Arial" w:hAnsi="Arial" w:cs="Arial"/>
                <w:b/>
                <w:bCs/>
                <w:sz w:val="18"/>
                <w:szCs w:val="18"/>
              </w:rPr>
              <w:t>x</w:t>
            </w:r>
          </w:p>
        </w:tc>
        <w:tc>
          <w:tcPr>
            <w:tcW w:w="953" w:type="dxa"/>
            <w:tcBorders>
              <w:top w:val="single" w:sz="4" w:space="0" w:color="auto"/>
              <w:right w:val="single" w:sz="4" w:space="0" w:color="auto"/>
            </w:tcBorders>
            <w:shd w:val="clear" w:color="auto" w:fill="F2F2F2" w:themeFill="background1" w:themeFillShade="F2"/>
            <w:vAlign w:val="center"/>
          </w:tcPr>
          <w:p>
            <w:pPr>
              <w:spacing w:after="0" w:line="360" w:lineRule="auto"/>
              <w:contextualSpacing/>
              <w:jc w:val="center"/>
              <w:rPr>
                <w:rStyle w:val="markedcontent"/>
                <w:rFonts w:ascii="Arial" w:hAnsi="Arial" w:cs="Arial"/>
                <w:b/>
                <w:bCs/>
                <w:sz w:val="18"/>
                <w:szCs w:val="18"/>
              </w:rPr>
            </w:pPr>
            <w:r>
              <w:rPr>
                <w:rStyle w:val="markedcontent"/>
                <w:rFonts w:ascii="Arial" w:hAnsi="Arial" w:cs="Arial"/>
                <w:b/>
                <w:bCs/>
                <w:sz w:val="18"/>
                <w:szCs w:val="18"/>
              </w:rPr>
              <w:t>Tiefe:</w:t>
            </w:r>
          </w:p>
        </w:tc>
        <w:tc>
          <w:tcPr>
            <w:tcW w:w="4414" w:type="dxa"/>
            <w:gridSpan w:val="5"/>
            <w:tcBorders>
              <w:top w:val="nil"/>
              <w:left w:val="single" w:sz="4" w:space="0" w:color="auto"/>
              <w:bottom w:val="single" w:sz="4" w:space="0" w:color="auto"/>
              <w:right w:val="single" w:sz="4" w:space="0" w:color="auto"/>
            </w:tcBorders>
            <w:shd w:val="clear" w:color="auto" w:fill="F2F2F2" w:themeFill="background1" w:themeFillShade="F2"/>
          </w:tcPr>
          <w:p>
            <w:pPr>
              <w:spacing w:after="0" w:line="360" w:lineRule="auto"/>
              <w:contextualSpacing/>
              <w:rPr>
                <w:rStyle w:val="markedcontent"/>
                <w:rFonts w:ascii="Arial" w:hAnsi="Arial" w:cs="Arial"/>
                <w:sz w:val="18"/>
                <w:szCs w:val="18"/>
              </w:rPr>
            </w:pPr>
          </w:p>
        </w:tc>
        <w:tc>
          <w:tcPr>
            <w:tcW w:w="944" w:type="dxa"/>
            <w:gridSpan w:val="2"/>
            <w:tcBorders>
              <w:top w:val="nil"/>
              <w:left w:val="single" w:sz="4" w:space="0" w:color="auto"/>
              <w:bottom w:val="single" w:sz="4" w:space="0" w:color="auto"/>
              <w:right w:val="single" w:sz="4" w:space="0" w:color="auto"/>
            </w:tcBorders>
            <w:shd w:val="clear" w:color="auto" w:fill="F2F2F2" w:themeFill="background1" w:themeFillShade="F2"/>
          </w:tcPr>
          <w:p>
            <w:pPr>
              <w:spacing w:after="0" w:line="360" w:lineRule="auto"/>
              <w:contextualSpacing/>
              <w:rPr>
                <w:rStyle w:val="markedcontent"/>
                <w:rFonts w:ascii="Arial" w:hAnsi="Arial" w:cs="Arial"/>
                <w:sz w:val="18"/>
                <w:szCs w:val="18"/>
              </w:rPr>
            </w:pPr>
          </w:p>
        </w:tc>
      </w:tr>
      <w:tr>
        <w:trPr>
          <w:trHeight w:val="338"/>
        </w:trPr>
        <w:tc>
          <w:tcPr>
            <w:tcW w:w="1059"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25,3</w:t>
            </w:r>
          </w:p>
        </w:tc>
        <w:tc>
          <w:tcPr>
            <w:tcW w:w="328" w:type="dxa"/>
            <w:tcBorders>
              <w:top w:val="single" w:sz="4" w:space="0" w:color="auto"/>
            </w:tcBorders>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x</w:t>
            </w:r>
          </w:p>
        </w:tc>
        <w:tc>
          <w:tcPr>
            <w:tcW w:w="1072" w:type="dxa"/>
            <w:tcBorders>
              <w:top w:val="single" w:sz="4" w:space="0" w:color="auto"/>
            </w:tcBorders>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52</w:t>
            </w:r>
          </w:p>
        </w:tc>
        <w:tc>
          <w:tcPr>
            <w:tcW w:w="384" w:type="dxa"/>
            <w:tcBorders>
              <w:top w:val="single" w:sz="4" w:space="0" w:color="auto"/>
            </w:tcBorders>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x</w:t>
            </w:r>
          </w:p>
        </w:tc>
        <w:tc>
          <w:tcPr>
            <w:tcW w:w="850" w:type="dxa"/>
            <w:tcBorders>
              <w:top w:val="single" w:sz="4" w:space="0" w:color="auto"/>
            </w:tcBorders>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100</w:t>
            </w:r>
          </w:p>
        </w:tc>
        <w:tc>
          <w:tcPr>
            <w:tcW w:w="433" w:type="dxa"/>
            <w:tcBorders>
              <w:top w:val="single" w:sz="4" w:space="0" w:color="auto"/>
            </w:tcBorders>
            <w:vAlign w:val="center"/>
          </w:tcPr>
          <w:p>
            <w:pPr>
              <w:spacing w:after="0" w:line="240" w:lineRule="auto"/>
              <w:contextualSpacing/>
              <w:rPr>
                <w:rFonts w:ascii="Arial" w:hAnsi="Arial" w:cs="Arial"/>
                <w:sz w:val="18"/>
                <w:szCs w:val="18"/>
              </w:rPr>
            </w:pPr>
            <w:r>
              <w:rPr>
                <w:rFonts w:ascii="Arial" w:hAnsi="Arial" w:cs="Arial"/>
                <w:sz w:val="18"/>
                <w:szCs w:val="18"/>
              </w:rPr>
              <w:t>x</w:t>
            </w:r>
          </w:p>
        </w:tc>
        <w:tc>
          <w:tcPr>
            <w:tcW w:w="953" w:type="dxa"/>
            <w:tcBorders>
              <w:top w:val="single" w:sz="4" w:space="0" w:color="auto"/>
            </w:tcBorders>
            <w:vAlign w:val="center"/>
          </w:tcPr>
          <w:p>
            <w:pPr>
              <w:spacing w:after="0" w:line="240" w:lineRule="auto"/>
              <w:contextualSpacing/>
              <w:rPr>
                <w:rFonts w:ascii="Arial" w:hAnsi="Arial" w:cs="Arial"/>
                <w:sz w:val="18"/>
                <w:szCs w:val="18"/>
              </w:rPr>
            </w:pPr>
            <w:r>
              <w:rPr>
                <w:rFonts w:ascii="Arial" w:hAnsi="Arial" w:cs="Arial"/>
                <w:sz w:val="18"/>
                <w:szCs w:val="18"/>
              </w:rPr>
              <w:t>140</w:t>
            </w:r>
          </w:p>
        </w:tc>
        <w:tc>
          <w:tcPr>
            <w:tcW w:w="4414" w:type="dxa"/>
            <w:gridSpan w:val="5"/>
            <w:tcBorders>
              <w:top w:val="single" w:sz="4" w:space="0" w:color="auto"/>
            </w:tcBorders>
          </w:tcPr>
          <w:p>
            <w:pPr>
              <w:spacing w:after="0" w:line="240" w:lineRule="auto"/>
              <w:contextualSpacing/>
              <w:rPr>
                <w:rStyle w:val="markedcontent"/>
                <w:rFonts w:ascii="Arial" w:hAnsi="Arial" w:cs="Arial"/>
                <w:sz w:val="18"/>
                <w:szCs w:val="18"/>
              </w:rPr>
            </w:pPr>
            <w:r>
              <w:rPr>
                <w:rFonts w:ascii="Arial" w:hAnsi="Arial" w:cs="Arial"/>
                <w:sz w:val="18"/>
                <w:szCs w:val="18"/>
              </w:rPr>
              <w:t>abgeschrägtes Kunststoffgehäuse IP67</w:t>
            </w:r>
            <w:r>
              <w:rPr>
                <w:rFonts w:ascii="Arial" w:hAnsi="Arial" w:cs="Arial"/>
                <w:sz w:val="18"/>
                <w:szCs w:val="18"/>
              </w:rPr>
              <w:br/>
              <w:t xml:space="preserve">Ober-/ Unterschale, 4 Schrauben, Dichtung </w:t>
            </w:r>
            <w:r>
              <w:rPr>
                <w:rFonts w:ascii="Arial" w:hAnsi="Arial" w:cs="Arial"/>
                <w:sz w:val="18"/>
                <w:szCs w:val="18"/>
              </w:rPr>
              <w:br/>
              <w:t>und 4 Gummifüße</w:t>
            </w:r>
          </w:p>
        </w:tc>
        <w:tc>
          <w:tcPr>
            <w:tcW w:w="944" w:type="dxa"/>
            <w:gridSpan w:val="2"/>
            <w:tcBorders>
              <w:top w:val="single" w:sz="4" w:space="0" w:color="auto"/>
            </w:tcBorders>
            <w:vAlign w:val="center"/>
          </w:tcPr>
          <w:p>
            <w:pPr>
              <w:spacing w:after="0" w:line="240" w:lineRule="auto"/>
              <w:contextualSpacing/>
              <w:rPr>
                <w:rFonts w:ascii="Arial" w:hAnsi="Arial" w:cs="Arial"/>
                <w:sz w:val="18"/>
                <w:szCs w:val="18"/>
              </w:rPr>
            </w:pPr>
            <w:r>
              <w:rPr>
                <w:rFonts w:ascii="Arial" w:hAnsi="Arial" w:cs="Arial"/>
                <w:sz w:val="18"/>
                <w:szCs w:val="18"/>
              </w:rPr>
              <w:t>13°</w:t>
            </w:r>
          </w:p>
        </w:tc>
      </w:tr>
      <w:tr>
        <w:trPr>
          <w:trHeight w:val="338"/>
        </w:trPr>
        <w:tc>
          <w:tcPr>
            <w:tcW w:w="1059"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36,5</w:t>
            </w:r>
          </w:p>
        </w:tc>
        <w:tc>
          <w:tcPr>
            <w:tcW w:w="328"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x</w:t>
            </w:r>
          </w:p>
        </w:tc>
        <w:tc>
          <w:tcPr>
            <w:tcW w:w="1072"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72</w:t>
            </w:r>
          </w:p>
        </w:tc>
        <w:tc>
          <w:tcPr>
            <w:tcW w:w="384"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x</w:t>
            </w:r>
          </w:p>
        </w:tc>
        <w:tc>
          <w:tcPr>
            <w:tcW w:w="850"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100</w:t>
            </w:r>
          </w:p>
        </w:tc>
        <w:tc>
          <w:tcPr>
            <w:tcW w:w="433" w:type="dxa"/>
            <w:vAlign w:val="center"/>
          </w:tcPr>
          <w:p>
            <w:pPr>
              <w:spacing w:after="0" w:line="240" w:lineRule="auto"/>
              <w:contextualSpacing/>
              <w:rPr>
                <w:rFonts w:ascii="Arial" w:hAnsi="Arial" w:cs="Arial"/>
                <w:sz w:val="18"/>
                <w:szCs w:val="18"/>
              </w:rPr>
            </w:pPr>
            <w:r>
              <w:rPr>
                <w:rFonts w:ascii="Arial" w:hAnsi="Arial" w:cs="Arial"/>
                <w:sz w:val="18"/>
                <w:szCs w:val="18"/>
              </w:rPr>
              <w:t>x</w:t>
            </w:r>
          </w:p>
        </w:tc>
        <w:tc>
          <w:tcPr>
            <w:tcW w:w="953" w:type="dxa"/>
            <w:vAlign w:val="center"/>
          </w:tcPr>
          <w:p>
            <w:pPr>
              <w:spacing w:after="0" w:line="240" w:lineRule="auto"/>
              <w:contextualSpacing/>
              <w:rPr>
                <w:rFonts w:ascii="Arial" w:hAnsi="Arial" w:cs="Arial"/>
                <w:sz w:val="18"/>
                <w:szCs w:val="18"/>
              </w:rPr>
            </w:pPr>
            <w:r>
              <w:rPr>
                <w:rFonts w:ascii="Arial" w:hAnsi="Arial" w:cs="Arial"/>
                <w:sz w:val="18"/>
                <w:szCs w:val="18"/>
              </w:rPr>
              <w:t>140</w:t>
            </w:r>
          </w:p>
        </w:tc>
        <w:tc>
          <w:tcPr>
            <w:tcW w:w="4414" w:type="dxa"/>
            <w:gridSpan w:val="5"/>
          </w:tcPr>
          <w:p>
            <w:pPr>
              <w:spacing w:after="0" w:line="240" w:lineRule="auto"/>
              <w:contextualSpacing/>
              <w:rPr>
                <w:rStyle w:val="markedcontent"/>
                <w:rFonts w:ascii="Arial" w:hAnsi="Arial" w:cs="Arial"/>
                <w:sz w:val="18"/>
                <w:szCs w:val="18"/>
              </w:rPr>
            </w:pPr>
            <w:r>
              <w:rPr>
                <w:rFonts w:ascii="Arial" w:hAnsi="Arial" w:cs="Arial"/>
                <w:sz w:val="18"/>
                <w:szCs w:val="18"/>
              </w:rPr>
              <w:t>abgeschrägtes Kunststoffgehäuse IP67</w:t>
            </w:r>
            <w:r>
              <w:rPr>
                <w:rFonts w:ascii="Arial" w:hAnsi="Arial" w:cs="Arial"/>
                <w:sz w:val="18"/>
                <w:szCs w:val="18"/>
              </w:rPr>
              <w:br/>
              <w:t xml:space="preserve">Ober-/ Unterschale, 4 Schrauben, Dichtung </w:t>
            </w:r>
            <w:r>
              <w:rPr>
                <w:rFonts w:ascii="Arial" w:hAnsi="Arial" w:cs="Arial"/>
                <w:sz w:val="18"/>
                <w:szCs w:val="18"/>
              </w:rPr>
              <w:br/>
              <w:t>und 4 Gummifüße</w:t>
            </w:r>
          </w:p>
        </w:tc>
        <w:tc>
          <w:tcPr>
            <w:tcW w:w="944" w:type="dxa"/>
            <w:gridSpan w:val="2"/>
            <w:vAlign w:val="center"/>
          </w:tcPr>
          <w:p>
            <w:pPr>
              <w:spacing w:after="0" w:line="240" w:lineRule="auto"/>
              <w:contextualSpacing/>
              <w:rPr>
                <w:rFonts w:ascii="Arial" w:hAnsi="Arial" w:cs="Arial"/>
                <w:sz w:val="18"/>
                <w:szCs w:val="18"/>
              </w:rPr>
            </w:pPr>
            <w:r>
              <w:rPr>
                <w:rFonts w:ascii="Arial" w:hAnsi="Arial" w:cs="Arial"/>
                <w:sz w:val="18"/>
                <w:szCs w:val="18"/>
              </w:rPr>
              <w:t>18°</w:t>
            </w:r>
          </w:p>
        </w:tc>
      </w:tr>
      <w:tr>
        <w:trPr>
          <w:trHeight w:val="285"/>
        </w:trPr>
        <w:tc>
          <w:tcPr>
            <w:tcW w:w="1059"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25,3</w:t>
            </w:r>
          </w:p>
        </w:tc>
        <w:tc>
          <w:tcPr>
            <w:tcW w:w="328"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x</w:t>
            </w:r>
          </w:p>
        </w:tc>
        <w:tc>
          <w:tcPr>
            <w:tcW w:w="1072"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52</w:t>
            </w:r>
          </w:p>
        </w:tc>
        <w:tc>
          <w:tcPr>
            <w:tcW w:w="384"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x</w:t>
            </w:r>
          </w:p>
        </w:tc>
        <w:tc>
          <w:tcPr>
            <w:tcW w:w="850"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140</w:t>
            </w:r>
          </w:p>
        </w:tc>
        <w:tc>
          <w:tcPr>
            <w:tcW w:w="433" w:type="dxa"/>
            <w:vAlign w:val="center"/>
          </w:tcPr>
          <w:p>
            <w:pPr>
              <w:spacing w:after="0" w:line="240" w:lineRule="auto"/>
              <w:contextualSpacing/>
              <w:rPr>
                <w:rFonts w:ascii="Arial" w:hAnsi="Arial" w:cs="Arial"/>
                <w:sz w:val="18"/>
                <w:szCs w:val="18"/>
              </w:rPr>
            </w:pPr>
            <w:r>
              <w:rPr>
                <w:rFonts w:ascii="Arial" w:hAnsi="Arial" w:cs="Arial"/>
                <w:sz w:val="18"/>
                <w:szCs w:val="18"/>
              </w:rPr>
              <w:t>x</w:t>
            </w:r>
          </w:p>
        </w:tc>
        <w:tc>
          <w:tcPr>
            <w:tcW w:w="953" w:type="dxa"/>
            <w:vAlign w:val="center"/>
          </w:tcPr>
          <w:p>
            <w:pPr>
              <w:spacing w:after="0" w:line="240" w:lineRule="auto"/>
              <w:contextualSpacing/>
              <w:rPr>
                <w:rFonts w:ascii="Arial" w:hAnsi="Arial" w:cs="Arial"/>
                <w:sz w:val="18"/>
                <w:szCs w:val="18"/>
              </w:rPr>
            </w:pPr>
            <w:r>
              <w:rPr>
                <w:rFonts w:ascii="Arial" w:hAnsi="Arial" w:cs="Arial"/>
                <w:sz w:val="18"/>
                <w:szCs w:val="18"/>
              </w:rPr>
              <w:t>140</w:t>
            </w:r>
          </w:p>
        </w:tc>
        <w:tc>
          <w:tcPr>
            <w:tcW w:w="4414" w:type="dxa"/>
            <w:gridSpan w:val="5"/>
          </w:tcPr>
          <w:p>
            <w:pPr>
              <w:spacing w:after="0" w:line="240" w:lineRule="auto"/>
              <w:contextualSpacing/>
              <w:rPr>
                <w:rStyle w:val="markedcontent"/>
                <w:rFonts w:ascii="Arial" w:hAnsi="Arial" w:cs="Arial"/>
                <w:sz w:val="18"/>
                <w:szCs w:val="18"/>
              </w:rPr>
            </w:pPr>
            <w:r>
              <w:rPr>
                <w:rFonts w:ascii="Arial" w:hAnsi="Arial" w:cs="Arial"/>
                <w:sz w:val="18"/>
                <w:szCs w:val="18"/>
              </w:rPr>
              <w:t>abgeschrägtes Kunststoffgehäuse IP67</w:t>
            </w:r>
            <w:r>
              <w:rPr>
                <w:rFonts w:ascii="Arial" w:hAnsi="Arial" w:cs="Arial"/>
                <w:sz w:val="18"/>
                <w:szCs w:val="18"/>
              </w:rPr>
              <w:br/>
              <w:t xml:space="preserve">Ober-/ Unterschale, 4 Schrauben, Dichtung </w:t>
            </w:r>
            <w:r>
              <w:rPr>
                <w:rFonts w:ascii="Arial" w:hAnsi="Arial" w:cs="Arial"/>
                <w:sz w:val="18"/>
                <w:szCs w:val="18"/>
              </w:rPr>
              <w:br/>
              <w:t>und 4 Gummifüße</w:t>
            </w:r>
          </w:p>
        </w:tc>
        <w:tc>
          <w:tcPr>
            <w:tcW w:w="944" w:type="dxa"/>
            <w:gridSpan w:val="2"/>
            <w:vAlign w:val="center"/>
          </w:tcPr>
          <w:p>
            <w:pPr>
              <w:spacing w:after="0" w:line="240" w:lineRule="auto"/>
              <w:contextualSpacing/>
              <w:rPr>
                <w:rFonts w:ascii="Arial" w:hAnsi="Arial" w:cs="Arial"/>
                <w:sz w:val="18"/>
                <w:szCs w:val="18"/>
              </w:rPr>
            </w:pPr>
            <w:r>
              <w:rPr>
                <w:rFonts w:ascii="Arial" w:hAnsi="Arial" w:cs="Arial"/>
                <w:sz w:val="18"/>
                <w:szCs w:val="18"/>
              </w:rPr>
              <w:t>13°</w:t>
            </w:r>
          </w:p>
        </w:tc>
      </w:tr>
      <w:tr>
        <w:trPr>
          <w:trHeight w:val="285"/>
        </w:trPr>
        <w:tc>
          <w:tcPr>
            <w:tcW w:w="1059"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36,5</w:t>
            </w:r>
          </w:p>
        </w:tc>
        <w:tc>
          <w:tcPr>
            <w:tcW w:w="328"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x</w:t>
            </w:r>
          </w:p>
        </w:tc>
        <w:tc>
          <w:tcPr>
            <w:tcW w:w="1072"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72</w:t>
            </w:r>
          </w:p>
        </w:tc>
        <w:tc>
          <w:tcPr>
            <w:tcW w:w="384"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x</w:t>
            </w:r>
          </w:p>
        </w:tc>
        <w:tc>
          <w:tcPr>
            <w:tcW w:w="850"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140</w:t>
            </w:r>
          </w:p>
        </w:tc>
        <w:tc>
          <w:tcPr>
            <w:tcW w:w="433" w:type="dxa"/>
            <w:vAlign w:val="center"/>
          </w:tcPr>
          <w:p>
            <w:pPr>
              <w:spacing w:after="0" w:line="240" w:lineRule="auto"/>
              <w:contextualSpacing/>
              <w:rPr>
                <w:rFonts w:ascii="Arial" w:hAnsi="Arial" w:cs="Arial"/>
                <w:sz w:val="18"/>
                <w:szCs w:val="18"/>
              </w:rPr>
            </w:pPr>
            <w:r>
              <w:rPr>
                <w:rFonts w:ascii="Arial" w:hAnsi="Arial" w:cs="Arial"/>
                <w:sz w:val="18"/>
                <w:szCs w:val="18"/>
              </w:rPr>
              <w:t>x</w:t>
            </w:r>
          </w:p>
        </w:tc>
        <w:tc>
          <w:tcPr>
            <w:tcW w:w="953" w:type="dxa"/>
            <w:vAlign w:val="center"/>
          </w:tcPr>
          <w:p>
            <w:pPr>
              <w:spacing w:after="0" w:line="240" w:lineRule="auto"/>
              <w:contextualSpacing/>
              <w:rPr>
                <w:rFonts w:ascii="Arial" w:hAnsi="Arial" w:cs="Arial"/>
                <w:sz w:val="18"/>
                <w:szCs w:val="18"/>
              </w:rPr>
            </w:pPr>
            <w:r>
              <w:rPr>
                <w:rFonts w:ascii="Arial" w:hAnsi="Arial" w:cs="Arial"/>
                <w:sz w:val="18"/>
                <w:szCs w:val="18"/>
              </w:rPr>
              <w:t>140</w:t>
            </w:r>
          </w:p>
        </w:tc>
        <w:tc>
          <w:tcPr>
            <w:tcW w:w="4414" w:type="dxa"/>
            <w:gridSpan w:val="5"/>
          </w:tcPr>
          <w:p>
            <w:pPr>
              <w:spacing w:after="0" w:line="240" w:lineRule="auto"/>
              <w:contextualSpacing/>
              <w:rPr>
                <w:rStyle w:val="markedcontent"/>
                <w:rFonts w:ascii="Arial" w:hAnsi="Arial" w:cs="Arial"/>
                <w:sz w:val="18"/>
                <w:szCs w:val="18"/>
              </w:rPr>
            </w:pPr>
            <w:r>
              <w:rPr>
                <w:rFonts w:ascii="Arial" w:hAnsi="Arial" w:cs="Arial"/>
                <w:sz w:val="18"/>
                <w:szCs w:val="18"/>
              </w:rPr>
              <w:t>abgeschrägtes Kunststoffgehäuse IP67</w:t>
            </w:r>
            <w:r>
              <w:rPr>
                <w:rFonts w:ascii="Arial" w:hAnsi="Arial" w:cs="Arial"/>
                <w:sz w:val="18"/>
                <w:szCs w:val="18"/>
              </w:rPr>
              <w:br/>
              <w:t xml:space="preserve">Ober-/ Unterschale, 4 Schrauben, Dichtung </w:t>
            </w:r>
            <w:r>
              <w:rPr>
                <w:rFonts w:ascii="Arial" w:hAnsi="Arial" w:cs="Arial"/>
                <w:sz w:val="18"/>
                <w:szCs w:val="18"/>
              </w:rPr>
              <w:br/>
              <w:t>und 4 Gummifüße</w:t>
            </w:r>
          </w:p>
        </w:tc>
        <w:tc>
          <w:tcPr>
            <w:tcW w:w="944" w:type="dxa"/>
            <w:gridSpan w:val="2"/>
            <w:vAlign w:val="center"/>
          </w:tcPr>
          <w:p>
            <w:pPr>
              <w:spacing w:after="0" w:line="240" w:lineRule="auto"/>
              <w:contextualSpacing/>
              <w:rPr>
                <w:rFonts w:ascii="Arial" w:hAnsi="Arial" w:cs="Arial"/>
                <w:sz w:val="18"/>
                <w:szCs w:val="18"/>
              </w:rPr>
            </w:pPr>
            <w:r>
              <w:rPr>
                <w:rFonts w:ascii="Arial" w:hAnsi="Arial" w:cs="Arial"/>
                <w:sz w:val="18"/>
                <w:szCs w:val="18"/>
              </w:rPr>
              <w:t>18°</w:t>
            </w:r>
          </w:p>
        </w:tc>
      </w:tr>
      <w:tr>
        <w:trPr>
          <w:trHeight w:val="296"/>
        </w:trPr>
        <w:tc>
          <w:tcPr>
            <w:tcW w:w="1059"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25,3</w:t>
            </w:r>
          </w:p>
        </w:tc>
        <w:tc>
          <w:tcPr>
            <w:tcW w:w="328"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x</w:t>
            </w:r>
          </w:p>
        </w:tc>
        <w:tc>
          <w:tcPr>
            <w:tcW w:w="1072"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52</w:t>
            </w:r>
          </w:p>
        </w:tc>
        <w:tc>
          <w:tcPr>
            <w:tcW w:w="384"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x</w:t>
            </w:r>
          </w:p>
        </w:tc>
        <w:tc>
          <w:tcPr>
            <w:tcW w:w="850"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175</w:t>
            </w:r>
          </w:p>
        </w:tc>
        <w:tc>
          <w:tcPr>
            <w:tcW w:w="433" w:type="dxa"/>
            <w:vAlign w:val="center"/>
          </w:tcPr>
          <w:p>
            <w:pPr>
              <w:spacing w:after="0" w:line="240" w:lineRule="auto"/>
              <w:contextualSpacing/>
              <w:rPr>
                <w:rFonts w:ascii="Arial" w:hAnsi="Arial" w:cs="Arial"/>
                <w:sz w:val="18"/>
                <w:szCs w:val="18"/>
              </w:rPr>
            </w:pPr>
            <w:r>
              <w:rPr>
                <w:rFonts w:ascii="Arial" w:hAnsi="Arial" w:cs="Arial"/>
                <w:sz w:val="18"/>
                <w:szCs w:val="18"/>
              </w:rPr>
              <w:t>x</w:t>
            </w:r>
          </w:p>
        </w:tc>
        <w:tc>
          <w:tcPr>
            <w:tcW w:w="953" w:type="dxa"/>
            <w:vAlign w:val="center"/>
          </w:tcPr>
          <w:p>
            <w:pPr>
              <w:spacing w:after="0" w:line="240" w:lineRule="auto"/>
              <w:contextualSpacing/>
              <w:rPr>
                <w:rFonts w:ascii="Arial" w:hAnsi="Arial" w:cs="Arial"/>
                <w:sz w:val="18"/>
                <w:szCs w:val="18"/>
              </w:rPr>
            </w:pPr>
            <w:r>
              <w:rPr>
                <w:rFonts w:ascii="Arial" w:hAnsi="Arial" w:cs="Arial"/>
                <w:sz w:val="18"/>
                <w:szCs w:val="18"/>
              </w:rPr>
              <w:t>140</w:t>
            </w:r>
          </w:p>
        </w:tc>
        <w:tc>
          <w:tcPr>
            <w:tcW w:w="4414" w:type="dxa"/>
            <w:gridSpan w:val="5"/>
          </w:tcPr>
          <w:p>
            <w:pPr>
              <w:spacing w:after="0" w:line="240" w:lineRule="auto"/>
              <w:contextualSpacing/>
              <w:rPr>
                <w:rStyle w:val="markedcontent"/>
                <w:rFonts w:ascii="Arial" w:hAnsi="Arial" w:cs="Arial"/>
                <w:sz w:val="18"/>
                <w:szCs w:val="18"/>
              </w:rPr>
            </w:pPr>
            <w:r>
              <w:rPr>
                <w:rFonts w:ascii="Arial" w:hAnsi="Arial" w:cs="Arial"/>
                <w:sz w:val="18"/>
                <w:szCs w:val="18"/>
              </w:rPr>
              <w:t>abgeschrägtes Kunststoffgehäuse IP67</w:t>
            </w:r>
            <w:r>
              <w:rPr>
                <w:rFonts w:ascii="Arial" w:hAnsi="Arial" w:cs="Arial"/>
                <w:sz w:val="18"/>
                <w:szCs w:val="18"/>
              </w:rPr>
              <w:br/>
              <w:t xml:space="preserve">Ober-/ Unterschale, 4 Schrauben, Dichtung </w:t>
            </w:r>
            <w:r>
              <w:rPr>
                <w:rFonts w:ascii="Arial" w:hAnsi="Arial" w:cs="Arial"/>
                <w:sz w:val="18"/>
                <w:szCs w:val="18"/>
              </w:rPr>
              <w:br/>
              <w:t>und 4 Gummifüße</w:t>
            </w:r>
          </w:p>
        </w:tc>
        <w:tc>
          <w:tcPr>
            <w:tcW w:w="944" w:type="dxa"/>
            <w:gridSpan w:val="2"/>
            <w:vAlign w:val="center"/>
          </w:tcPr>
          <w:p>
            <w:pPr>
              <w:spacing w:after="0" w:line="240" w:lineRule="auto"/>
              <w:contextualSpacing/>
              <w:rPr>
                <w:rFonts w:ascii="Arial" w:hAnsi="Arial" w:cs="Arial"/>
                <w:sz w:val="18"/>
                <w:szCs w:val="18"/>
              </w:rPr>
            </w:pPr>
            <w:r>
              <w:rPr>
                <w:rFonts w:ascii="Arial" w:hAnsi="Arial" w:cs="Arial"/>
                <w:sz w:val="18"/>
                <w:szCs w:val="18"/>
              </w:rPr>
              <w:t>13°</w:t>
            </w:r>
          </w:p>
        </w:tc>
      </w:tr>
      <w:tr>
        <w:trPr>
          <w:trHeight w:val="285"/>
        </w:trPr>
        <w:tc>
          <w:tcPr>
            <w:tcW w:w="1059"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36,5</w:t>
            </w:r>
          </w:p>
        </w:tc>
        <w:tc>
          <w:tcPr>
            <w:tcW w:w="328"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x</w:t>
            </w:r>
          </w:p>
        </w:tc>
        <w:tc>
          <w:tcPr>
            <w:tcW w:w="1072"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72</w:t>
            </w:r>
          </w:p>
        </w:tc>
        <w:tc>
          <w:tcPr>
            <w:tcW w:w="384"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x</w:t>
            </w:r>
          </w:p>
        </w:tc>
        <w:tc>
          <w:tcPr>
            <w:tcW w:w="850" w:type="dxa"/>
            <w:vAlign w:val="center"/>
          </w:tcPr>
          <w:p>
            <w:pPr>
              <w:spacing w:after="0" w:line="360" w:lineRule="auto"/>
              <w:contextualSpacing/>
              <w:rPr>
                <w:rStyle w:val="markedcontent"/>
                <w:rFonts w:ascii="Arial" w:hAnsi="Arial" w:cs="Arial"/>
                <w:sz w:val="18"/>
                <w:szCs w:val="18"/>
              </w:rPr>
            </w:pPr>
            <w:r>
              <w:rPr>
                <w:rStyle w:val="markedcontent"/>
                <w:rFonts w:ascii="Arial" w:hAnsi="Arial" w:cs="Arial"/>
                <w:sz w:val="18"/>
                <w:szCs w:val="18"/>
              </w:rPr>
              <w:t>175</w:t>
            </w:r>
          </w:p>
        </w:tc>
        <w:tc>
          <w:tcPr>
            <w:tcW w:w="433" w:type="dxa"/>
            <w:vAlign w:val="center"/>
          </w:tcPr>
          <w:p>
            <w:pPr>
              <w:spacing w:after="0" w:line="240" w:lineRule="auto"/>
              <w:contextualSpacing/>
              <w:rPr>
                <w:rFonts w:ascii="Arial" w:hAnsi="Arial" w:cs="Arial"/>
                <w:sz w:val="18"/>
                <w:szCs w:val="18"/>
              </w:rPr>
            </w:pPr>
            <w:r>
              <w:rPr>
                <w:rFonts w:ascii="Arial" w:hAnsi="Arial" w:cs="Arial"/>
                <w:sz w:val="18"/>
                <w:szCs w:val="18"/>
              </w:rPr>
              <w:t>x</w:t>
            </w:r>
          </w:p>
        </w:tc>
        <w:tc>
          <w:tcPr>
            <w:tcW w:w="953" w:type="dxa"/>
            <w:vAlign w:val="center"/>
          </w:tcPr>
          <w:p>
            <w:pPr>
              <w:spacing w:after="0" w:line="240" w:lineRule="auto"/>
              <w:contextualSpacing/>
              <w:rPr>
                <w:rFonts w:ascii="Arial" w:hAnsi="Arial" w:cs="Arial"/>
                <w:sz w:val="18"/>
                <w:szCs w:val="18"/>
              </w:rPr>
            </w:pPr>
            <w:r>
              <w:rPr>
                <w:rFonts w:ascii="Arial" w:hAnsi="Arial" w:cs="Arial"/>
                <w:sz w:val="18"/>
                <w:szCs w:val="18"/>
              </w:rPr>
              <w:t>140</w:t>
            </w:r>
          </w:p>
        </w:tc>
        <w:tc>
          <w:tcPr>
            <w:tcW w:w="4414" w:type="dxa"/>
            <w:gridSpan w:val="5"/>
          </w:tcPr>
          <w:p>
            <w:pPr>
              <w:spacing w:after="0" w:line="240" w:lineRule="auto"/>
              <w:contextualSpacing/>
              <w:rPr>
                <w:rStyle w:val="markedcontent"/>
                <w:rFonts w:ascii="Arial" w:hAnsi="Arial" w:cs="Arial"/>
                <w:sz w:val="18"/>
                <w:szCs w:val="18"/>
              </w:rPr>
            </w:pPr>
            <w:r>
              <w:rPr>
                <w:rFonts w:ascii="Arial" w:hAnsi="Arial" w:cs="Arial"/>
                <w:sz w:val="18"/>
                <w:szCs w:val="18"/>
              </w:rPr>
              <w:t>abgeschrägtes Kunststoffgehäuse IP67</w:t>
            </w:r>
            <w:r>
              <w:rPr>
                <w:rFonts w:ascii="Arial" w:hAnsi="Arial" w:cs="Arial"/>
                <w:sz w:val="18"/>
                <w:szCs w:val="18"/>
              </w:rPr>
              <w:br/>
              <w:t xml:space="preserve">Ober-/ Unterschale, 4 Schrauben, Dichtung </w:t>
            </w:r>
            <w:r>
              <w:rPr>
                <w:rFonts w:ascii="Arial" w:hAnsi="Arial" w:cs="Arial"/>
                <w:sz w:val="18"/>
                <w:szCs w:val="18"/>
              </w:rPr>
              <w:br/>
              <w:t>und 4 Gummifüße</w:t>
            </w:r>
          </w:p>
        </w:tc>
        <w:tc>
          <w:tcPr>
            <w:tcW w:w="944" w:type="dxa"/>
            <w:gridSpan w:val="2"/>
            <w:vAlign w:val="center"/>
          </w:tcPr>
          <w:p>
            <w:pPr>
              <w:spacing w:after="0" w:line="240" w:lineRule="auto"/>
              <w:contextualSpacing/>
              <w:rPr>
                <w:rFonts w:ascii="Arial" w:hAnsi="Arial" w:cs="Arial"/>
                <w:sz w:val="18"/>
                <w:szCs w:val="18"/>
              </w:rPr>
            </w:pPr>
            <w:r>
              <w:rPr>
                <w:rFonts w:ascii="Arial" w:hAnsi="Arial" w:cs="Arial"/>
                <w:sz w:val="18"/>
                <w:szCs w:val="18"/>
              </w:rPr>
              <w:t>18°</w:t>
            </w:r>
          </w:p>
        </w:tc>
      </w:tr>
    </w:tbl>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jc w:val="both"/>
        <w:rPr>
          <w:rFonts w:ascii="Arial" w:hAnsi="Arial" w:cs="Arial"/>
        </w:rPr>
      </w:pPr>
      <w:r>
        <w:rPr>
          <w:rFonts w:ascii="Arial" w:hAnsi="Arial" w:cs="Arial"/>
        </w:rPr>
        <w:t xml:space="preserve">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 </w:t>
      </w:r>
    </w:p>
    <w:p>
      <w:pPr>
        <w:spacing w:after="0"/>
        <w:jc w:val="both"/>
        <w:rPr>
          <w:rFonts w:ascii="Arial" w:hAnsi="Arial" w:cs="Arial"/>
        </w:rPr>
      </w:pPr>
    </w:p>
    <w:p>
      <w:pPr>
        <w:spacing w:after="0" w:line="360" w:lineRule="auto"/>
        <w:contextualSpacing/>
        <w:jc w:val="both"/>
        <w:rPr>
          <w:rFonts w:ascii="Arial" w:hAnsi="Arial" w:cs="Arial"/>
        </w:rPr>
      </w:pPr>
      <w:r>
        <w:rPr>
          <w:rFonts w:ascii="Arial" w:hAnsi="Arial" w:cs="Arial"/>
        </w:rPr>
        <w:t>Download dieser Pressemitteilung und weitere Informationen und Bilder unter:</w:t>
      </w:r>
    </w:p>
    <w:p>
      <w:pPr>
        <w:spacing w:after="0" w:line="360" w:lineRule="auto"/>
        <w:contextualSpacing/>
        <w:jc w:val="both"/>
        <w:rPr>
          <w:rStyle w:val="Hyperlink"/>
          <w:color w:val="009DA2"/>
          <w:sz w:val="22"/>
          <w:szCs w:val="22"/>
        </w:rPr>
      </w:pPr>
      <w:hyperlink r:id="rId12" w:history="1">
        <w:r>
          <w:rPr>
            <w:rStyle w:val="Hyperlink"/>
            <w:color w:val="009DA2"/>
            <w:sz w:val="22"/>
            <w:szCs w:val="22"/>
          </w:rPr>
          <w:t>http://www.WoehrGmbH.de/de/aktuelles-presse/pressecenter/</w:t>
        </w:r>
      </w:hyperlink>
      <w:r>
        <w:rPr>
          <w:rStyle w:val="Hyperlink"/>
          <w:color w:val="009DA2"/>
          <w:sz w:val="22"/>
          <w:szCs w:val="22"/>
        </w:rPr>
        <w:t xml:space="preserve"> </w:t>
      </w:r>
    </w:p>
    <w:p>
      <w:pPr>
        <w:spacing w:after="0" w:line="360" w:lineRule="auto"/>
        <w:contextualSpacing/>
        <w:jc w:val="both"/>
        <w:rPr>
          <w:rFonts w:ascii="Arial" w:hAnsi="Arial" w:cs="Arial"/>
          <w:sz w:val="24"/>
          <w:szCs w:val="24"/>
        </w:rPr>
      </w:pPr>
      <w:r>
        <w:br/>
      </w:r>
      <w:r>
        <w:rPr>
          <w:rFonts w:ascii="Arial" w:hAnsi="Arial" w:cs="Arial"/>
          <w:spacing w:val="1"/>
          <w:sz w:val="18"/>
          <w:szCs w:val="16"/>
        </w:rPr>
        <w:t>Weitere Informationen / Ansprechpartner:</w:t>
      </w:r>
    </w:p>
    <w:p>
      <w:pPr>
        <w:pStyle w:val="EinfacherAbsatz"/>
        <w:rPr>
          <w:rFonts w:ascii="Arial" w:hAnsi="Arial" w:cs="Arial"/>
          <w:spacing w:val="1"/>
          <w:sz w:val="18"/>
          <w:szCs w:val="16"/>
        </w:rPr>
      </w:pPr>
      <w:r>
        <w:rPr>
          <w:rFonts w:ascii="Arial" w:hAnsi="Arial" w:cs="Arial"/>
          <w:spacing w:val="1"/>
          <w:sz w:val="18"/>
          <w:szCs w:val="16"/>
        </w:rPr>
        <w:t>Richard Wöhr GmbH, Gräfenau 58-60, D-75339 Höfen / Enz</w:t>
      </w:r>
    </w:p>
    <w:p>
      <w:pPr>
        <w:spacing w:after="0"/>
        <w:rPr>
          <w:rFonts w:ascii="Arial" w:hAnsi="Arial" w:cs="Arial"/>
          <w:b/>
          <w:bCs/>
          <w:color w:val="009DA2"/>
          <w:spacing w:val="1"/>
          <w:sz w:val="18"/>
          <w:szCs w:val="16"/>
        </w:rPr>
      </w:pPr>
      <w:r>
        <w:rPr>
          <w:rFonts w:ascii="Arial" w:hAnsi="Arial" w:cs="Arial"/>
          <w:spacing w:val="1"/>
          <w:sz w:val="18"/>
          <w:szCs w:val="16"/>
        </w:rPr>
        <w:t xml:space="preserve">Tel. +49 7081 95 40 - 0, Fax +49 7081 95 40 - 90, </w:t>
      </w:r>
      <w:r>
        <w:rPr>
          <w:rFonts w:ascii="Arial" w:hAnsi="Arial" w:cs="Arial"/>
          <w:spacing w:val="1"/>
          <w:sz w:val="18"/>
          <w:szCs w:val="16"/>
        </w:rPr>
        <w:br/>
        <w:t xml:space="preserve">E-Mail: </w:t>
      </w:r>
      <w:hyperlink r:id="rId13" w:history="1">
        <w:r>
          <w:rPr>
            <w:rStyle w:val="Hyperlink"/>
            <w:color w:val="009DA2"/>
            <w:spacing w:val="1"/>
            <w:sz w:val="18"/>
            <w:szCs w:val="16"/>
          </w:rPr>
          <w:t>Marketing@WoehrGmbH.de</w:t>
        </w:r>
      </w:hyperlink>
    </w:p>
    <w:sectPr>
      <w:headerReference w:type="default" r:id="rId14"/>
      <w:pgSz w:w="11906" w:h="16838"/>
      <w:pgMar w:top="2694" w:right="1700"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talemate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4"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7FE5"/>
    <w:multiLevelType w:val="hybridMultilevel"/>
    <w:tmpl w:val="92DCA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50F7D"/>
    <w:multiLevelType w:val="hybridMultilevel"/>
    <w:tmpl w:val="0DDE414A"/>
    <w:lvl w:ilvl="0" w:tplc="BC4417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9054352">
    <w:abstractNumId w:val="1"/>
  </w:num>
  <w:num w:numId="2" w16cid:durableId="1818910584">
    <w:abstractNumId w:val="2"/>
  </w:num>
  <w:num w:numId="3" w16cid:durableId="1412971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D7698EE-8316-4930-9E79-F991A739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Listenabsatz">
    <w:name w:val="List Paragraph"/>
    <w:basedOn w:val="Standard"/>
    <w:uiPriority w:val="34"/>
    <w:qFormat/>
    <w:pPr>
      <w:ind w:left="720"/>
      <w:contextualSpacing/>
    </w:pPr>
    <w:rPr>
      <w:rFonts w:asciiTheme="minorHAnsi" w:eastAsiaTheme="minorHAnsi" w:hAnsiTheme="minorHAnsi" w:cstheme="minorBidi"/>
    </w:r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sz w:val="22"/>
      <w:szCs w:val="22"/>
      <w:lang w:eastAsia="en-US"/>
    </w:rPr>
  </w:style>
  <w:style w:type="paragraph" w:customStyle="1" w:styleId="bodytext">
    <w:name w:val="bodytext"/>
    <w:basedOn w:val="Standard"/>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markedcontent">
    <w:name w:val="markedconten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1627932341">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 w:id="21300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keting@WoehrGmbH.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ehrGmbH.de/de/aktuelles-presse/presse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ustriegehaeuse.de/kunststoff-gehaeuse/kunststoff-gehaeuse-serie-gh02/kunststoffgehaeuse-ks1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0A50-6BB6-4997-BBED-645E7E29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460</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Katharina Lötterle</cp:lastModifiedBy>
  <cp:revision>10</cp:revision>
  <cp:lastPrinted>2019-09-10T12:02:00Z</cp:lastPrinted>
  <dcterms:created xsi:type="dcterms:W3CDTF">2022-06-08T13:31:00Z</dcterms:created>
  <dcterms:modified xsi:type="dcterms:W3CDTF">2023-08-17T09:22:00Z</dcterms:modified>
</cp:coreProperties>
</file>