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3A0A2B">
        <w:rPr>
          <w:rFonts w:ascii="Arial" w:hAnsi="Arial" w:cs="Arial"/>
          <w:b/>
          <w:spacing w:val="1"/>
          <w:sz w:val="28"/>
          <w:szCs w:val="28"/>
        </w:rPr>
        <w:t>16</w:t>
      </w:r>
      <w:r w:rsidR="00EB5698" w:rsidRPr="0057153A">
        <w:rPr>
          <w:rFonts w:ascii="Arial" w:hAnsi="Arial" w:cs="Arial"/>
          <w:b/>
          <w:spacing w:val="1"/>
          <w:sz w:val="28"/>
          <w:szCs w:val="28"/>
        </w:rPr>
        <w:t>.</w:t>
      </w:r>
      <w:r w:rsidR="003A0A2B">
        <w:rPr>
          <w:rFonts w:ascii="Arial" w:hAnsi="Arial" w:cs="Arial"/>
          <w:b/>
          <w:spacing w:val="1"/>
          <w:sz w:val="28"/>
          <w:szCs w:val="28"/>
        </w:rPr>
        <w:t>06</w:t>
      </w:r>
      <w:r w:rsidR="007625C8" w:rsidRPr="0057153A">
        <w:rPr>
          <w:rFonts w:ascii="Arial" w:hAnsi="Arial" w:cs="Arial"/>
          <w:b/>
          <w:spacing w:val="1"/>
          <w:sz w:val="28"/>
          <w:szCs w:val="28"/>
        </w:rPr>
        <w:t>.20</w:t>
      </w:r>
      <w:r w:rsidR="00730F8A">
        <w:rPr>
          <w:rFonts w:ascii="Arial" w:hAnsi="Arial" w:cs="Arial"/>
          <w:b/>
          <w:spacing w:val="1"/>
          <w:sz w:val="28"/>
          <w:szCs w:val="28"/>
        </w:rPr>
        <w:t>15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 xml:space="preserve">® </w:t>
      </w:r>
      <w:r w:rsidR="00730F8A">
        <w:rPr>
          <w:rFonts w:ascii="Arial" w:hAnsi="Arial" w:cs="Arial"/>
          <w:sz w:val="28"/>
          <w:szCs w:val="28"/>
        </w:rPr>
        <w:t>erweitert</w:t>
      </w:r>
      <w:r w:rsidR="00EE5875">
        <w:rPr>
          <w:rFonts w:ascii="Arial" w:hAnsi="Arial" w:cs="Arial"/>
          <w:sz w:val="28"/>
          <w:szCs w:val="28"/>
        </w:rPr>
        <w:t xml:space="preserve"> sein</w:t>
      </w:r>
      <w:r w:rsidR="000C53F7">
        <w:rPr>
          <w:rFonts w:ascii="Arial" w:hAnsi="Arial" w:cs="Arial"/>
          <w:sz w:val="28"/>
          <w:szCs w:val="28"/>
        </w:rPr>
        <w:t xml:space="preserve"> Sortiment </w:t>
      </w:r>
      <w:r w:rsidR="003A0A2B">
        <w:rPr>
          <w:rFonts w:ascii="Arial" w:hAnsi="Arial" w:cs="Arial"/>
          <w:sz w:val="28"/>
          <w:szCs w:val="28"/>
        </w:rPr>
        <w:t xml:space="preserve">der Schnellmontage-Kabelverschraubungen </w:t>
      </w:r>
    </w:p>
    <w:p w:rsidR="00EB5698" w:rsidRPr="00D92B7B" w:rsidRDefault="00730F8A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730F8A">
        <w:rPr>
          <w:rFonts w:ascii="Arial" w:hAnsi="Arial" w:cs="Arial"/>
          <w:sz w:val="22"/>
          <w:szCs w:val="22"/>
        </w:rPr>
        <w:t xml:space="preserve">Standardmäßig </w:t>
      </w:r>
      <w:r>
        <w:rPr>
          <w:rFonts w:ascii="Arial" w:hAnsi="Arial" w:cs="Arial"/>
          <w:sz w:val="22"/>
          <w:szCs w:val="22"/>
        </w:rPr>
        <w:t>i</w:t>
      </w:r>
      <w:r w:rsidR="00BE02F3">
        <w:rPr>
          <w:rFonts w:ascii="Arial" w:hAnsi="Arial" w:cs="Arial"/>
          <w:sz w:val="22"/>
          <w:szCs w:val="22"/>
        </w:rPr>
        <w:t>n drei</w:t>
      </w:r>
      <w:r w:rsidR="00B956F7">
        <w:rPr>
          <w:rFonts w:ascii="Arial" w:hAnsi="Arial" w:cs="Arial"/>
          <w:sz w:val="22"/>
          <w:szCs w:val="22"/>
        </w:rPr>
        <w:t xml:space="preserve"> unterschiedlichen</w:t>
      </w:r>
      <w:r>
        <w:rPr>
          <w:rFonts w:ascii="Arial" w:hAnsi="Arial" w:cs="Arial"/>
          <w:sz w:val="22"/>
          <w:szCs w:val="22"/>
        </w:rPr>
        <w:t xml:space="preserve"> Fa</w:t>
      </w:r>
      <w:r w:rsidR="00D92B7B">
        <w:rPr>
          <w:rFonts w:ascii="Arial" w:hAnsi="Arial" w:cs="Arial"/>
          <w:sz w:val="22"/>
          <w:szCs w:val="22"/>
        </w:rPr>
        <w:t xml:space="preserve">rben und </w:t>
      </w:r>
      <w:r w:rsidR="00BE02F3">
        <w:rPr>
          <w:rFonts w:ascii="Arial" w:hAnsi="Arial" w:cs="Arial"/>
          <w:sz w:val="22"/>
          <w:szCs w:val="22"/>
        </w:rPr>
        <w:t>vier verschiedenen Größen erhältlich</w:t>
      </w:r>
      <w:r>
        <w:rPr>
          <w:rFonts w:ascii="Arial" w:hAnsi="Arial" w:cs="Arial"/>
          <w:sz w:val="22"/>
          <w:szCs w:val="22"/>
        </w:rPr>
        <w:t>.</w:t>
      </w:r>
      <w:r w:rsidR="00766A07">
        <w:rPr>
          <w:rFonts w:ascii="Arial" w:hAnsi="Arial" w:cs="Arial"/>
          <w:sz w:val="28"/>
          <w:szCs w:val="28"/>
        </w:rPr>
        <w:t xml:space="preserve">  </w:t>
      </w:r>
    </w:p>
    <w:p w:rsidR="002A36BB" w:rsidRDefault="00EB5698" w:rsidP="001D1327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</w:t>
      </w:r>
      <w:r w:rsidR="00360BEA">
        <w:rPr>
          <w:rFonts w:ascii="Arial" w:hAnsi="Arial" w:cs="Arial"/>
        </w:rPr>
        <w:t xml:space="preserve">ie Richard Wöhr GmbH erweitert ihr </w:t>
      </w:r>
      <w:r w:rsidR="00BE02F3">
        <w:rPr>
          <w:rFonts w:ascii="Arial" w:hAnsi="Arial" w:cs="Arial"/>
        </w:rPr>
        <w:t>Zubehör</w:t>
      </w:r>
      <w:r w:rsidR="00360BEA">
        <w:rPr>
          <w:rFonts w:ascii="Arial" w:hAnsi="Arial" w:cs="Arial"/>
        </w:rPr>
        <w:t>programm um</w:t>
      </w:r>
      <w:r w:rsidR="00BE02F3">
        <w:rPr>
          <w:rFonts w:ascii="Arial" w:hAnsi="Arial" w:cs="Arial"/>
        </w:rPr>
        <w:t xml:space="preserve"> weitere Größen</w:t>
      </w:r>
      <w:r w:rsidR="00360BEA">
        <w:rPr>
          <w:rFonts w:ascii="Arial" w:hAnsi="Arial" w:cs="Arial"/>
        </w:rPr>
        <w:t xml:space="preserve"> </w:t>
      </w:r>
      <w:r w:rsidR="00A815ED">
        <w:rPr>
          <w:rFonts w:ascii="Arial" w:hAnsi="Arial" w:cs="Arial"/>
        </w:rPr>
        <w:t>der Kunststoff-Kabelverschraubungen mit Schnellmontage Funktion. Zu den bisher verfügbaren Größen M16 und M20 kommen M25 und M32 hinzu. Die Verschraubungen sind stand</w:t>
      </w:r>
      <w:r w:rsidR="00B956F7">
        <w:rPr>
          <w:rFonts w:ascii="Arial" w:hAnsi="Arial" w:cs="Arial"/>
        </w:rPr>
        <w:t>ard</w:t>
      </w:r>
      <w:r w:rsidR="00A815ED">
        <w:rPr>
          <w:rFonts w:ascii="Arial" w:hAnsi="Arial" w:cs="Arial"/>
        </w:rPr>
        <w:t>mäßig in den Farben RAL 7035 (hell</w:t>
      </w:r>
      <w:r w:rsidR="004A2DE5">
        <w:rPr>
          <w:rFonts w:ascii="Arial" w:hAnsi="Arial" w:cs="Arial"/>
        </w:rPr>
        <w:t>g</w:t>
      </w:r>
      <w:r w:rsidR="00A815ED">
        <w:rPr>
          <w:rFonts w:ascii="Arial" w:hAnsi="Arial" w:cs="Arial"/>
        </w:rPr>
        <w:t xml:space="preserve">rau), RAL 7001 (dunkelgrau) und in RAL 9005 (schwarz) vorhanden. </w:t>
      </w:r>
      <w:r w:rsidR="00373180">
        <w:rPr>
          <w:rFonts w:ascii="Arial" w:hAnsi="Arial" w:cs="Arial"/>
        </w:rPr>
        <w:t>Die rasche Montage und Demontage werden durch einen speziellen Einrastmechanismus</w:t>
      </w:r>
      <w:r w:rsidR="008E016E">
        <w:rPr>
          <w:rFonts w:ascii="Arial" w:hAnsi="Arial" w:cs="Arial"/>
        </w:rPr>
        <w:t xml:space="preserve"> beziehungsweise ein separat erhältliches Demontagewerkzeug </w:t>
      </w:r>
      <w:r w:rsidR="00373180">
        <w:rPr>
          <w:rFonts w:ascii="Arial" w:hAnsi="Arial" w:cs="Arial"/>
        </w:rPr>
        <w:t xml:space="preserve">ermöglicht. </w:t>
      </w:r>
      <w:r w:rsidR="008E016E">
        <w:rPr>
          <w:rFonts w:ascii="Arial" w:hAnsi="Arial" w:cs="Arial"/>
        </w:rPr>
        <w:t>Es werden weder Gewinde noch Gegenmutter benötigt. Daraus resultieren Kosten- sowie Zeitersparnis.</w:t>
      </w:r>
      <w:r w:rsidR="001D1327">
        <w:rPr>
          <w:rFonts w:ascii="Arial" w:hAnsi="Arial" w:cs="Arial"/>
        </w:rPr>
        <w:t xml:space="preserve"> Diese </w:t>
      </w:r>
      <w:r w:rsidR="001D1327" w:rsidRPr="001D1327">
        <w:rPr>
          <w:rFonts w:ascii="Arial" w:hAnsi="Arial" w:cs="Arial"/>
        </w:rPr>
        <w:t>A</w:t>
      </w:r>
      <w:r w:rsidR="001D1327">
        <w:rPr>
          <w:rFonts w:ascii="Arial" w:hAnsi="Arial" w:cs="Arial"/>
        </w:rPr>
        <w:t xml:space="preserve">nschlusstechnik wird dadurch </w:t>
      </w:r>
      <w:r w:rsidR="001F24BD">
        <w:rPr>
          <w:rFonts w:ascii="Arial" w:hAnsi="Arial" w:cs="Arial"/>
        </w:rPr>
        <w:t>eröffnet</w:t>
      </w:r>
      <w:r w:rsidR="001D1327">
        <w:rPr>
          <w:rFonts w:ascii="Arial" w:hAnsi="Arial" w:cs="Arial"/>
        </w:rPr>
        <w:t xml:space="preserve">, dass die Verschraubung </w:t>
      </w:r>
      <w:r w:rsidR="001D1327" w:rsidRPr="001D1327">
        <w:rPr>
          <w:rFonts w:ascii="Arial" w:hAnsi="Arial" w:cs="Arial"/>
        </w:rPr>
        <w:t>dire</w:t>
      </w:r>
      <w:r w:rsidR="001D1327">
        <w:rPr>
          <w:rFonts w:ascii="Arial" w:hAnsi="Arial" w:cs="Arial"/>
        </w:rPr>
        <w:t>kt in der Durchgangsbohrung einrastet und durch</w:t>
      </w:r>
      <w:r w:rsidR="001D1327" w:rsidRPr="001D1327">
        <w:rPr>
          <w:rFonts w:ascii="Arial" w:hAnsi="Arial" w:cs="Arial"/>
        </w:rPr>
        <w:t xml:space="preserve"> ein </w:t>
      </w:r>
      <w:r w:rsidR="001D1327">
        <w:rPr>
          <w:rFonts w:ascii="Arial" w:hAnsi="Arial" w:cs="Arial"/>
        </w:rPr>
        <w:t xml:space="preserve">spezielles </w:t>
      </w:r>
      <w:r w:rsidR="001D1327" w:rsidRPr="001D1327">
        <w:rPr>
          <w:rFonts w:ascii="Arial" w:hAnsi="Arial" w:cs="Arial"/>
        </w:rPr>
        <w:t>Federelemen</w:t>
      </w:r>
      <w:r w:rsidR="001D1327">
        <w:rPr>
          <w:rFonts w:ascii="Arial" w:hAnsi="Arial" w:cs="Arial"/>
        </w:rPr>
        <w:t xml:space="preserve">t fixiert wird. </w:t>
      </w:r>
      <w:r w:rsidR="002A36BB">
        <w:rPr>
          <w:rFonts w:ascii="Arial" w:hAnsi="Arial" w:cs="Arial"/>
        </w:rPr>
        <w:t xml:space="preserve">Ein Verdrehen der Kabelverschraubung während der Montage </w:t>
      </w:r>
      <w:r w:rsidR="001D1327">
        <w:rPr>
          <w:rFonts w:ascii="Arial" w:hAnsi="Arial" w:cs="Arial"/>
        </w:rPr>
        <w:t>wird</w:t>
      </w:r>
      <w:r w:rsidR="001F24BD">
        <w:rPr>
          <w:rFonts w:ascii="Arial" w:hAnsi="Arial" w:cs="Arial"/>
        </w:rPr>
        <w:t xml:space="preserve"> hiermit</w:t>
      </w:r>
      <w:r w:rsidR="001D1327">
        <w:rPr>
          <w:rFonts w:ascii="Arial" w:hAnsi="Arial" w:cs="Arial"/>
        </w:rPr>
        <w:t xml:space="preserve"> verhindert</w:t>
      </w:r>
      <w:r w:rsidR="002A36BB">
        <w:rPr>
          <w:rFonts w:ascii="Arial" w:hAnsi="Arial" w:cs="Arial"/>
        </w:rPr>
        <w:t>. Ein weiterer Vorteil</w:t>
      </w:r>
      <w:r w:rsidR="001F24BD">
        <w:rPr>
          <w:rFonts w:ascii="Arial" w:hAnsi="Arial" w:cs="Arial"/>
        </w:rPr>
        <w:t xml:space="preserve">, der durch diese </w:t>
      </w:r>
      <w:r w:rsidR="002A36BB">
        <w:rPr>
          <w:rFonts w:ascii="Arial" w:hAnsi="Arial" w:cs="Arial"/>
        </w:rPr>
        <w:t>Anschlusstechnik</w:t>
      </w:r>
      <w:r w:rsidR="001F24BD">
        <w:rPr>
          <w:rFonts w:ascii="Arial" w:hAnsi="Arial" w:cs="Arial"/>
        </w:rPr>
        <w:t xml:space="preserve"> entsteht,</w:t>
      </w:r>
      <w:r w:rsidR="002A36BB">
        <w:rPr>
          <w:rFonts w:ascii="Arial" w:hAnsi="Arial" w:cs="Arial"/>
        </w:rPr>
        <w:t xml:space="preserve"> ist die Möglichkeit, vorgegebene Toleranzen, insbesondere bei dünnwandigen </w:t>
      </w:r>
      <w:r w:rsidR="00F519CD">
        <w:rPr>
          <w:rFonts w:ascii="Arial" w:hAnsi="Arial" w:cs="Arial"/>
        </w:rPr>
        <w:t>Fronten, überbrücken zu können. Dauerhaft einsetzbar sind die Verschraubungen in einem Temperaturbereich von -20°C bis hin zu +100°C und verfügen über die Schutzarten IP66 und IP68.</w:t>
      </w:r>
    </w:p>
    <w:p w:rsidR="00E371BE" w:rsidRPr="00D03F80" w:rsidRDefault="002A36BB" w:rsidP="001D13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Kabelverschraubungen ergänzen das Programm der Richard Wöhr GmbH an Kunststoff- und Metallgehäusen. Gerne genutzt für den Einsatz </w:t>
      </w:r>
      <w:r w:rsidR="001F24BD">
        <w:rPr>
          <w:rFonts w:ascii="Arial" w:hAnsi="Arial" w:cs="Arial"/>
        </w:rPr>
        <w:t xml:space="preserve">als </w:t>
      </w:r>
      <w:r w:rsidR="00F519CD">
        <w:rPr>
          <w:rFonts w:ascii="Arial" w:hAnsi="Arial" w:cs="Arial"/>
        </w:rPr>
        <w:t>K</w:t>
      </w:r>
      <w:r w:rsidR="001F24BD">
        <w:rPr>
          <w:rFonts w:ascii="Arial" w:hAnsi="Arial" w:cs="Arial"/>
        </w:rPr>
        <w:t>lemmenkästen oder Gehäusesystemen</w:t>
      </w:r>
      <w:r w:rsidR="00F519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B5698" w:rsidRPr="005001F3" w:rsidRDefault="0073734C" w:rsidP="005001F3">
      <w:pPr>
        <w:spacing w:after="0"/>
        <w:jc w:val="both"/>
        <w:rPr>
          <w:rFonts w:ascii="Arial" w:hAnsi="Arial" w:cs="Arial"/>
          <w:strike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45"/>
        <w:gridCol w:w="5909"/>
      </w:tblGrid>
      <w:tr w:rsidR="00EB5698" w:rsidRPr="0057153A" w:rsidTr="005001F3">
        <w:tc>
          <w:tcPr>
            <w:tcW w:w="2345" w:type="dxa"/>
            <w:tcBorders>
              <w:left w:val="single" w:sz="4" w:space="0" w:color="auto"/>
            </w:tcBorders>
          </w:tcPr>
          <w:p w:rsidR="00EB5698" w:rsidRPr="005001F3" w:rsidRDefault="005001F3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5909" w:type="dxa"/>
            <w:tcBorders>
              <w:right w:val="nil"/>
            </w:tcBorders>
          </w:tcPr>
          <w:p w:rsidR="00EB5698" w:rsidRPr="005001F3" w:rsidRDefault="00E0649E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Polyam</w:t>
            </w:r>
            <w:r w:rsidR="0042672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d 6</w:t>
            </w:r>
            <w:r w:rsidR="005001F3" w:rsidRPr="005001F3">
              <w:rPr>
                <w:rFonts w:ascii="Arial" w:hAnsi="Arial" w:cs="Arial"/>
              </w:rPr>
              <w:t xml:space="preserve"> </w:t>
            </w:r>
            <w:r w:rsidR="00EB5698" w:rsidRPr="005001F3">
              <w:rPr>
                <w:rFonts w:ascii="Arial" w:hAnsi="Arial" w:cs="Arial"/>
              </w:rPr>
              <w:t xml:space="preserve"> 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5001F3" w:rsidRPr="005001F3" w:rsidRDefault="00E0649E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IP66/ IP68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Farbe:</w:t>
            </w:r>
          </w:p>
        </w:tc>
        <w:tc>
          <w:tcPr>
            <w:tcW w:w="0" w:type="auto"/>
            <w:hideMark/>
          </w:tcPr>
          <w:p w:rsidR="005001F3" w:rsidRPr="005001F3" w:rsidRDefault="00E0649E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 7035 (hellgrau), RAL 7001 (dunkelgrau), RAL 9005 (schwarz)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Temperaturbereich: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-20</w:t>
            </w:r>
            <w:r w:rsidR="00E0649E">
              <w:rPr>
                <w:rFonts w:ascii="Arial" w:hAnsi="Arial" w:cs="Arial"/>
              </w:rPr>
              <w:t>°C bis +100</w:t>
            </w:r>
            <w:r w:rsidRPr="005001F3">
              <w:rPr>
                <w:rFonts w:ascii="Arial" w:hAnsi="Arial" w:cs="Arial"/>
              </w:rPr>
              <w:t>°C</w:t>
            </w:r>
            <w:r w:rsidR="00B956F7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E0649E">
              <w:rPr>
                <w:rFonts w:ascii="Arial" w:hAnsi="Arial" w:cs="Arial"/>
              </w:rPr>
              <w:t xml:space="preserve"> kurzfristig -30°C  bis +150°C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5001F3" w:rsidRPr="005001F3" w:rsidRDefault="00E0649E" w:rsidP="00E0649E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vier verschiedenen Größen erhältlich: M16, M20, M25, M32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Modifikationen:</w:t>
            </w:r>
          </w:p>
        </w:tc>
        <w:tc>
          <w:tcPr>
            <w:tcW w:w="0" w:type="auto"/>
            <w:hideMark/>
          </w:tcPr>
          <w:p w:rsidR="005001F3" w:rsidRPr="005001F3" w:rsidRDefault="005001F3" w:rsidP="00A0091B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passende</w:t>
            </w:r>
            <w:hyperlink r:id="rId9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 </w:t>
              </w:r>
              <w:r w:rsidR="00A0091B">
                <w:rPr>
                  <w:rFonts w:ascii="Arial" w:hAnsi="Arial" w:cs="Arial"/>
                  <w:bCs/>
                </w:rPr>
                <w:t>Gehäuse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0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>mechanische Bearbeitung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1" w:tgtFrame="_blank" w:tooltip="Öffnet externen Link in neuem Fenster" w:history="1">
              <w:r w:rsidRPr="005001F3">
                <w:rPr>
                  <w:rFonts w:ascii="Arial" w:hAnsi="Arial" w:cs="Arial"/>
                  <w:bCs/>
                </w:rPr>
                <w:t>Eingabesysteme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2" w:tooltip="Öffnet internen Link im aktuellen Fenster" w:history="1">
              <w:r w:rsidR="00B6309D">
                <w:rPr>
                  <w:rFonts w:ascii="Arial" w:hAnsi="Arial" w:cs="Arial"/>
                  <w:bCs/>
                </w:rPr>
                <w:t>Oberflächenvere</w:t>
              </w:r>
              <w:r w:rsidRPr="005001F3">
                <w:rPr>
                  <w:rFonts w:ascii="Arial" w:hAnsi="Arial" w:cs="Arial"/>
                  <w:bCs/>
                </w:rPr>
                <w:t>delung</w:t>
              </w:r>
            </w:hyperlink>
            <w:r w:rsidRPr="005001F3">
              <w:rPr>
                <w:rFonts w:ascii="Arial" w:hAnsi="Arial" w:cs="Arial"/>
              </w:rPr>
              <w:t xml:space="preserve"> (EMV,ESD,MED,...) </w:t>
            </w:r>
            <w:proofErr w:type="spellStart"/>
            <w:r w:rsidRPr="005001F3">
              <w:rPr>
                <w:rFonts w:ascii="Arial" w:hAnsi="Arial" w:cs="Arial"/>
              </w:rPr>
              <w:t>uvm</w:t>
            </w:r>
            <w:proofErr w:type="spellEnd"/>
            <w:r w:rsidRPr="005001F3">
              <w:rPr>
                <w:rFonts w:ascii="Arial" w:hAnsi="Arial" w:cs="Arial"/>
              </w:rPr>
              <w:t>. sind jederzeit möglich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Besonderheiten:</w:t>
            </w:r>
          </w:p>
        </w:tc>
        <w:tc>
          <w:tcPr>
            <w:tcW w:w="0" w:type="auto"/>
            <w:hideMark/>
          </w:tcPr>
          <w:p w:rsidR="005001F3" w:rsidRPr="005001F3" w:rsidRDefault="00A0091B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Schnellmontage-Funktion 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im Lieferumfang </w:t>
            </w:r>
            <w:r w:rsidRPr="005001F3">
              <w:rPr>
                <w:rFonts w:ascii="Arial" w:hAnsi="Arial" w:cs="Arial"/>
              </w:rPr>
              <w:lastRenderedPageBreak/>
              <w:t>enthalten:</w:t>
            </w:r>
          </w:p>
        </w:tc>
        <w:tc>
          <w:tcPr>
            <w:tcW w:w="0" w:type="auto"/>
            <w:hideMark/>
          </w:tcPr>
          <w:p w:rsidR="005001F3" w:rsidRPr="005001F3" w:rsidRDefault="00A0091B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Kabelverschraubung</w:t>
            </w:r>
          </w:p>
        </w:tc>
      </w:tr>
    </w:tbl>
    <w:p w:rsidR="005001F3" w:rsidRDefault="005001F3" w:rsidP="00EB5698">
      <w:pPr>
        <w:spacing w:after="0" w:line="360" w:lineRule="auto"/>
        <w:contextualSpacing/>
        <w:jc w:val="both"/>
      </w:pPr>
    </w:p>
    <w:p w:rsidR="001D1327" w:rsidRPr="00D03F80" w:rsidRDefault="001D1327" w:rsidP="001D1327">
      <w:pPr>
        <w:spacing w:after="0"/>
        <w:jc w:val="both"/>
        <w:rPr>
          <w:rFonts w:ascii="Arial" w:hAnsi="Arial" w:cs="Arial"/>
        </w:rPr>
      </w:pPr>
      <w:r w:rsidRPr="001D1327">
        <w:rPr>
          <w:rFonts w:ascii="Arial" w:hAnsi="Arial" w:cs="Arial"/>
        </w:rPr>
        <w:t>Weitere Informatio</w:t>
      </w:r>
      <w:r>
        <w:rPr>
          <w:rFonts w:ascii="Arial" w:hAnsi="Arial" w:cs="Arial"/>
        </w:rPr>
        <w:t xml:space="preserve">nen unter Kabelverschraubungen </w:t>
      </w:r>
      <w:r w:rsidRPr="001D1327">
        <w:rPr>
          <w:rFonts w:ascii="Arial" w:hAnsi="Arial" w:cs="Arial"/>
        </w:rPr>
        <w:t>aus Kunststo</w:t>
      </w:r>
      <w:r>
        <w:rPr>
          <w:rFonts w:ascii="Arial" w:hAnsi="Arial" w:cs="Arial"/>
        </w:rPr>
        <w:t xml:space="preserve">ff auf </w:t>
      </w:r>
      <w:hyperlink r:id="rId13" w:history="1">
        <w:r w:rsidR="00F519CD" w:rsidRPr="00A0091B">
          <w:rPr>
            <w:rStyle w:val="Hyperlink"/>
            <w:color w:val="009DA2"/>
            <w:sz w:val="22"/>
            <w:szCs w:val="22"/>
          </w:rPr>
          <w:t>www.Industriegehaeuse.de</w:t>
        </w:r>
      </w:hyperlink>
      <w:r>
        <w:rPr>
          <w:rFonts w:ascii="Arial" w:hAnsi="Arial" w:cs="Arial"/>
        </w:rPr>
        <w:t xml:space="preserve"> </w:t>
      </w:r>
      <w:r w:rsidRPr="001D1327">
        <w:rPr>
          <w:rFonts w:ascii="Arial" w:hAnsi="Arial" w:cs="Arial"/>
        </w:rPr>
        <w:t xml:space="preserve"> 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Pr="008D45D8" w:rsidRDefault="000E6D3D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4" w:history="1">
        <w:r w:rsidR="00552848" w:rsidRPr="00FD2BCA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5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6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4" w:rsidRDefault="00FC7224" w:rsidP="003C1C57">
      <w:pPr>
        <w:spacing w:after="0" w:line="240" w:lineRule="auto"/>
      </w:pPr>
      <w:r>
        <w:separator/>
      </w:r>
    </w:p>
  </w:endnote>
  <w:end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4" w:rsidRDefault="00FC7224" w:rsidP="003C1C57">
      <w:pPr>
        <w:spacing w:after="0" w:line="240" w:lineRule="auto"/>
      </w:pPr>
      <w:r>
        <w:separator/>
      </w:r>
    </w:p>
  </w:footnote>
  <w:foot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3F7"/>
    <w:rsid w:val="000C5C40"/>
    <w:rsid w:val="000D2643"/>
    <w:rsid w:val="000E6D3D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10B5"/>
    <w:rsid w:val="00191AA8"/>
    <w:rsid w:val="001D1327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67829"/>
    <w:rsid w:val="002A0EF9"/>
    <w:rsid w:val="002A36BB"/>
    <w:rsid w:val="002D3800"/>
    <w:rsid w:val="002E7A78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26728"/>
    <w:rsid w:val="00434979"/>
    <w:rsid w:val="00435162"/>
    <w:rsid w:val="00453F96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6160"/>
    <w:rsid w:val="0057153A"/>
    <w:rsid w:val="005718E5"/>
    <w:rsid w:val="00585E3C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3DCA"/>
    <w:rsid w:val="006C2E57"/>
    <w:rsid w:val="006E55A4"/>
    <w:rsid w:val="00723E2A"/>
    <w:rsid w:val="00724DD8"/>
    <w:rsid w:val="00730F8A"/>
    <w:rsid w:val="0073734C"/>
    <w:rsid w:val="00746628"/>
    <w:rsid w:val="007538ED"/>
    <w:rsid w:val="007625C8"/>
    <w:rsid w:val="007649A4"/>
    <w:rsid w:val="00766A07"/>
    <w:rsid w:val="00773096"/>
    <w:rsid w:val="007744E2"/>
    <w:rsid w:val="007831CC"/>
    <w:rsid w:val="0079032B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60A1"/>
    <w:rsid w:val="008A3CAB"/>
    <w:rsid w:val="008B1FB7"/>
    <w:rsid w:val="008B669E"/>
    <w:rsid w:val="008C5A58"/>
    <w:rsid w:val="008C707D"/>
    <w:rsid w:val="008D45D8"/>
    <w:rsid w:val="008D59E4"/>
    <w:rsid w:val="008E016E"/>
    <w:rsid w:val="008F063F"/>
    <w:rsid w:val="008F46A2"/>
    <w:rsid w:val="008F4B92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091B"/>
    <w:rsid w:val="00A06376"/>
    <w:rsid w:val="00A521A4"/>
    <w:rsid w:val="00A815ED"/>
    <w:rsid w:val="00A874A1"/>
    <w:rsid w:val="00A9546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C0650"/>
    <w:rsid w:val="00BD11B9"/>
    <w:rsid w:val="00BE002A"/>
    <w:rsid w:val="00BE02F3"/>
    <w:rsid w:val="00BE468D"/>
    <w:rsid w:val="00BE51BD"/>
    <w:rsid w:val="00BE587D"/>
    <w:rsid w:val="00BF0247"/>
    <w:rsid w:val="00BF20D4"/>
    <w:rsid w:val="00C00B23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6616"/>
    <w:rsid w:val="00D03F80"/>
    <w:rsid w:val="00D07934"/>
    <w:rsid w:val="00D10BB7"/>
    <w:rsid w:val="00D120C4"/>
    <w:rsid w:val="00D3314B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B22C8"/>
    <w:rsid w:val="00DB4B0C"/>
    <w:rsid w:val="00DD3170"/>
    <w:rsid w:val="00DE0171"/>
    <w:rsid w:val="00DF564F"/>
    <w:rsid w:val="00E05E6D"/>
    <w:rsid w:val="00E0649E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657C"/>
    <w:rsid w:val="00E93D35"/>
    <w:rsid w:val="00EB5698"/>
    <w:rsid w:val="00ED449F"/>
    <w:rsid w:val="00EE5875"/>
    <w:rsid w:val="00F15DBE"/>
    <w:rsid w:val="00F21696"/>
    <w:rsid w:val="00F26768"/>
    <w:rsid w:val="00F36704"/>
    <w:rsid w:val="00F519CD"/>
    <w:rsid w:val="00F61B90"/>
    <w:rsid w:val="00F62D7F"/>
    <w:rsid w:val="00F65C79"/>
    <w:rsid w:val="00F75853"/>
    <w:rsid w:val="00F85C1D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dustriegehaeus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ustriegehaeuse.de/unternehmen/oberflaech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ehrgmbh.de/de/produkte/eingabesystem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.Maier@WoehrGmbH.de" TargetMode="External"/><Relationship Id="rId10" Type="http://schemas.openxmlformats.org/officeDocument/2006/relationships/hyperlink" Target="http://www.industriegehaeuse.de/unternehmen/bearbeitu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/unternehmen/standardtastaturen/" TargetMode="External"/><Relationship Id="rId14" Type="http://schemas.openxmlformats.org/officeDocument/2006/relationships/hyperlink" Target="http://www.WoehrGmbH.de/de/aktuelles-presse/pressecen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ED2A-EDF4-458A-A22C-FBDB56AE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8</cp:revision>
  <cp:lastPrinted>2015-06-16T13:40:00Z</cp:lastPrinted>
  <dcterms:created xsi:type="dcterms:W3CDTF">2015-06-15T10:56:00Z</dcterms:created>
  <dcterms:modified xsi:type="dcterms:W3CDTF">2015-06-16T13:40:00Z</dcterms:modified>
</cp:coreProperties>
</file>